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64" w:rsidRPr="00A20D64" w:rsidRDefault="00A20D64" w:rsidP="00A20D64">
      <w:pPr>
        <w:jc w:val="center"/>
        <w:rPr>
          <w:rFonts w:ascii="Arial Black" w:hAnsi="Arial Black"/>
          <w:color w:val="FF0000"/>
          <w:sz w:val="32"/>
          <w:szCs w:val="32"/>
        </w:rPr>
      </w:pPr>
      <w:r w:rsidRPr="00A20D64">
        <w:rPr>
          <w:rFonts w:ascii="Arial Black" w:hAnsi="Arial Black"/>
          <w:color w:val="FF0000"/>
          <w:sz w:val="32"/>
          <w:szCs w:val="32"/>
        </w:rPr>
        <w:t>FDFA. Webinaire du 17 Mars 2022.</w:t>
      </w:r>
    </w:p>
    <w:p w:rsidR="00A20D64" w:rsidRPr="00A20D64" w:rsidRDefault="00A20D64" w:rsidP="001E2ED3">
      <w:pPr>
        <w:jc w:val="center"/>
        <w:rPr>
          <w:rFonts w:ascii="Arial Black" w:hAnsi="Arial Black"/>
          <w:color w:val="FF0000"/>
          <w:sz w:val="32"/>
          <w:szCs w:val="32"/>
        </w:rPr>
      </w:pPr>
      <w:r w:rsidRPr="00A20D64">
        <w:rPr>
          <w:rFonts w:ascii="Arial Black" w:hAnsi="Arial Black"/>
          <w:color w:val="FF0000"/>
          <w:sz w:val="32"/>
          <w:szCs w:val="32"/>
        </w:rPr>
        <w:t>Les Femmes dites handicapées</w:t>
      </w:r>
      <w:r w:rsidR="001E2ED3">
        <w:rPr>
          <w:rFonts w:ascii="Arial Black" w:hAnsi="Arial Black"/>
          <w:color w:val="FF0000"/>
          <w:sz w:val="32"/>
          <w:szCs w:val="32"/>
        </w:rPr>
        <w:t xml:space="preserve"> et</w:t>
      </w:r>
      <w:r w:rsidR="007F213D">
        <w:rPr>
          <w:rFonts w:ascii="Arial Black" w:hAnsi="Arial Black"/>
          <w:color w:val="FF0000"/>
          <w:sz w:val="32"/>
          <w:szCs w:val="32"/>
        </w:rPr>
        <w:t xml:space="preserve"> </w:t>
      </w:r>
      <w:r w:rsidR="001E2ED3">
        <w:rPr>
          <w:rFonts w:ascii="Arial Black" w:hAnsi="Arial Black"/>
          <w:color w:val="FF0000"/>
          <w:sz w:val="32"/>
          <w:szCs w:val="32"/>
        </w:rPr>
        <w:t xml:space="preserve">les </w:t>
      </w:r>
      <w:r w:rsidR="001E2ED3" w:rsidRPr="00A20D64">
        <w:rPr>
          <w:rFonts w:ascii="Arial Black" w:hAnsi="Arial Black"/>
          <w:color w:val="FF0000"/>
          <w:sz w:val="32"/>
          <w:szCs w:val="32"/>
        </w:rPr>
        <w:t>violences gynécologiques et Obstétricales</w:t>
      </w:r>
      <w:r w:rsidRPr="00A20D64">
        <w:rPr>
          <w:rFonts w:ascii="Arial Black" w:hAnsi="Arial Black"/>
          <w:color w:val="FF0000"/>
          <w:sz w:val="32"/>
          <w:szCs w:val="32"/>
        </w:rPr>
        <w:t>.</w:t>
      </w:r>
    </w:p>
    <w:p w:rsidR="00A20D64" w:rsidRPr="00A20D64" w:rsidRDefault="00A20D64" w:rsidP="00A20D64">
      <w:pPr>
        <w:ind w:firstLine="360"/>
      </w:pPr>
      <w:r w:rsidRPr="00A20D64">
        <w:rPr>
          <w:rFonts w:cstheme="minorHAnsi"/>
          <w:sz w:val="24"/>
          <w:szCs w:val="24"/>
        </w:rPr>
        <w:t>Dans le monde, les femmes et les filles dites handicapées courent les risques les plus élevés de violences sexistes et sexuelles, de défaut de soins et de mauvais traitements.</w:t>
      </w:r>
      <w:r w:rsidRPr="00A20D64">
        <w:rPr>
          <w:rFonts w:cstheme="minorHAnsi"/>
          <w:sz w:val="24"/>
          <w:szCs w:val="24"/>
          <w:vertAlign w:val="superscript"/>
        </w:rPr>
        <w:footnoteReference w:id="2"/>
      </w:r>
    </w:p>
    <w:p w:rsidR="00A20D64" w:rsidRPr="00A20D64" w:rsidRDefault="00A20D64" w:rsidP="00A20D64">
      <w:pPr>
        <w:ind w:firstLine="360"/>
        <w:rPr>
          <w:rFonts w:cstheme="minorHAnsi"/>
          <w:sz w:val="24"/>
          <w:szCs w:val="24"/>
        </w:rPr>
      </w:pPr>
      <w:r w:rsidRPr="00A20D64">
        <w:rPr>
          <w:rFonts w:cstheme="minorHAnsi"/>
          <w:sz w:val="24"/>
          <w:szCs w:val="24"/>
        </w:rPr>
        <w:t>Les V</w:t>
      </w:r>
      <w:r w:rsidR="00C63D4F">
        <w:rPr>
          <w:rFonts w:cstheme="minorHAnsi"/>
          <w:sz w:val="24"/>
          <w:szCs w:val="24"/>
        </w:rPr>
        <w:t>iolences gynécologiques et obstétricales</w:t>
      </w:r>
      <w:r w:rsidRPr="00A20D64">
        <w:rPr>
          <w:rFonts w:cstheme="minorHAnsi"/>
          <w:sz w:val="24"/>
          <w:szCs w:val="24"/>
        </w:rPr>
        <w:t xml:space="preserve"> sont des actes sexistes qui s’inscrivent dans l’histoire même de la médecine et sa volonté de contrôler le corps des femmes, d’autant plus qu’il est dévalué par le handicap. </w:t>
      </w:r>
    </w:p>
    <w:p w:rsidR="00A20D64" w:rsidRPr="00A20D64" w:rsidRDefault="00A20D64" w:rsidP="00A20D64">
      <w:pPr>
        <w:ind w:firstLine="284"/>
        <w:rPr>
          <w:rFonts w:eastAsia="Times New Roman" w:cstheme="minorHAnsi"/>
          <w:color w:val="000000" w:themeColor="text1"/>
          <w:sz w:val="24"/>
          <w:szCs w:val="24"/>
          <w:lang w:eastAsia="fr-FR"/>
        </w:rPr>
      </w:pPr>
      <w:r w:rsidRPr="00A20D64">
        <w:rPr>
          <w:rFonts w:eastAsia="Times New Roman" w:cstheme="minorHAnsi"/>
          <w:color w:val="000000" w:themeColor="text1"/>
          <w:sz w:val="24"/>
          <w:szCs w:val="24"/>
          <w:lang w:eastAsia="fr-FR"/>
        </w:rPr>
        <w:t>« Les femmes handicapées restent invisibles et oubliées des politiques publiques </w:t>
      </w:r>
      <w:r w:rsidRPr="00A20D64">
        <w:rPr>
          <w:rFonts w:eastAsia="Times New Roman" w:cstheme="minorHAnsi"/>
          <w:color w:val="000000" w:themeColor="text1"/>
          <w:sz w:val="28"/>
          <w:szCs w:val="28"/>
          <w:lang w:eastAsia="fr-FR"/>
        </w:rPr>
        <w:t>»</w:t>
      </w:r>
      <w:r w:rsidR="007F213D">
        <w:rPr>
          <w:rFonts w:eastAsia="Times New Roman" w:cstheme="minorHAnsi"/>
          <w:color w:val="000000" w:themeColor="text1"/>
          <w:sz w:val="28"/>
          <w:szCs w:val="28"/>
          <w:lang w:eastAsia="fr-FR"/>
        </w:rPr>
        <w:t xml:space="preserve"> </w:t>
      </w:r>
      <w:r w:rsidRPr="00A20D64">
        <w:rPr>
          <w:rFonts w:cstheme="minorHAnsi"/>
          <w:color w:val="000000" w:themeColor="text1"/>
          <w:sz w:val="24"/>
          <w:szCs w:val="24"/>
        </w:rPr>
        <w:t xml:space="preserve">dit </w:t>
      </w:r>
      <w:r w:rsidRPr="00A20D64">
        <w:rPr>
          <w:rFonts w:eastAsia="Times New Roman" w:cstheme="minorHAnsi"/>
          <w:color w:val="000000" w:themeColor="text1"/>
          <w:sz w:val="24"/>
          <w:szCs w:val="24"/>
          <w:lang w:eastAsia="fr-FR"/>
        </w:rPr>
        <w:t xml:space="preserve">Pascale Ribes, présidente de APF France Handicap. </w:t>
      </w:r>
      <w:r w:rsidR="001E2ED3">
        <w:rPr>
          <w:rFonts w:eastAsia="Times New Roman" w:cstheme="minorHAnsi"/>
          <w:color w:val="000000" w:themeColor="text1"/>
          <w:sz w:val="24"/>
          <w:szCs w:val="24"/>
          <w:lang w:eastAsia="fr-FR"/>
        </w:rPr>
        <w:t>L</w:t>
      </w:r>
      <w:r w:rsidRPr="00A20D64">
        <w:rPr>
          <w:rFonts w:eastAsia="Times New Roman" w:cstheme="minorHAnsi"/>
          <w:color w:val="000000" w:themeColor="text1"/>
          <w:sz w:val="24"/>
          <w:szCs w:val="24"/>
          <w:lang w:eastAsia="fr-FR"/>
        </w:rPr>
        <w:t>es violences</w:t>
      </w:r>
      <w:r w:rsidR="007F213D">
        <w:rPr>
          <w:rFonts w:eastAsia="Times New Roman" w:cstheme="minorHAnsi"/>
          <w:color w:val="000000" w:themeColor="text1"/>
          <w:sz w:val="24"/>
          <w:szCs w:val="24"/>
          <w:lang w:eastAsia="fr-FR"/>
        </w:rPr>
        <w:t xml:space="preserve"> </w:t>
      </w:r>
      <w:r w:rsidRPr="00A20D64">
        <w:rPr>
          <w:rFonts w:eastAsia="Times New Roman" w:cstheme="minorHAnsi"/>
          <w:color w:val="000000" w:themeColor="text1"/>
          <w:sz w:val="24"/>
          <w:szCs w:val="24"/>
          <w:lang w:eastAsia="fr-FR"/>
        </w:rPr>
        <w:t>gynécologiques et obstétricales, c’est pareil que pour les femmes dites valides, mais en pire.</w:t>
      </w:r>
    </w:p>
    <w:p w:rsidR="00A20D64" w:rsidRPr="00A20D64" w:rsidRDefault="00A20D64" w:rsidP="00A20D64">
      <w:pPr>
        <w:ind w:left="644" w:hanging="360"/>
        <w:contextualSpacing/>
        <w:outlineLvl w:val="0"/>
        <w:rPr>
          <w:rFonts w:ascii="Arial Black" w:hAnsi="Arial Black"/>
          <w:color w:val="0070C0"/>
          <w:sz w:val="28"/>
          <w:szCs w:val="28"/>
        </w:rPr>
      </w:pPr>
      <w:r w:rsidRPr="00A20D64">
        <w:rPr>
          <w:rFonts w:ascii="Arial Black" w:hAnsi="Arial Black"/>
          <w:color w:val="0070C0"/>
          <w:sz w:val="28"/>
          <w:szCs w:val="28"/>
        </w:rPr>
        <w:t xml:space="preserve">QUELQUE CHOSE DE SPECIFIQUE. </w:t>
      </w:r>
    </w:p>
    <w:p w:rsidR="00AA6BA7" w:rsidRDefault="00A20D64" w:rsidP="00A20D64">
      <w:pPr>
        <w:ind w:firstLine="284"/>
        <w:rPr>
          <w:rFonts w:cstheme="minorHAnsi"/>
          <w:sz w:val="24"/>
          <w:szCs w:val="24"/>
        </w:rPr>
      </w:pPr>
      <w:r w:rsidRPr="00A20D64">
        <w:rPr>
          <w:rFonts w:cstheme="minorHAnsi"/>
          <w:sz w:val="24"/>
          <w:szCs w:val="24"/>
        </w:rPr>
        <w:t>Plus de la moitié des femmes handicapées sont victimes de maltraitances contre un tiers des femmes valides, rappelle le Haut Conseil à l’Égalité Femmes/Hommes (HCE)</w:t>
      </w:r>
      <w:r w:rsidRPr="00A20D64">
        <w:rPr>
          <w:rFonts w:cstheme="minorHAnsi"/>
          <w:sz w:val="24"/>
          <w:szCs w:val="24"/>
          <w:vertAlign w:val="superscript"/>
        </w:rPr>
        <w:footnoteReference w:id="3"/>
      </w:r>
      <w:r w:rsidRPr="00A20D64">
        <w:rPr>
          <w:rFonts w:cstheme="minorHAnsi"/>
          <w:sz w:val="24"/>
          <w:szCs w:val="24"/>
        </w:rPr>
        <w:t>. Moteur, psychique, mental, sensoriel ou lié à une maladie chronique, le handicap en France concerne environ 6,5 millions de femmes</w:t>
      </w:r>
      <w:r w:rsidR="00C63D4F">
        <w:rPr>
          <w:rStyle w:val="Appelnotedebasdep"/>
          <w:rFonts w:cstheme="minorHAnsi"/>
          <w:sz w:val="24"/>
          <w:szCs w:val="24"/>
        </w:rPr>
        <w:footnoteReference w:id="4"/>
      </w:r>
      <w:r w:rsidRPr="00A20D64">
        <w:rPr>
          <w:rFonts w:cstheme="minorHAnsi"/>
          <w:sz w:val="24"/>
          <w:szCs w:val="24"/>
        </w:rPr>
        <w:t xml:space="preserve">.  Si deux millions sont porteuses d'un handicap sévère, quatre sur cinq ont un handicap invisible.  </w:t>
      </w:r>
    </w:p>
    <w:p w:rsidR="00A20D64" w:rsidRPr="00A20D64" w:rsidRDefault="00A20D64" w:rsidP="00A20D64">
      <w:pPr>
        <w:ind w:firstLine="284"/>
        <w:rPr>
          <w:rFonts w:cstheme="minorHAnsi"/>
          <w:sz w:val="24"/>
          <w:szCs w:val="24"/>
        </w:rPr>
      </w:pPr>
      <w:r w:rsidRPr="00A20D64">
        <w:rPr>
          <w:rFonts w:cstheme="minorHAnsi"/>
          <w:sz w:val="24"/>
          <w:szCs w:val="24"/>
        </w:rPr>
        <w:t>Plus vulnérables, plus isolées, plus dépendantes, les femmes handicapées subissent la double peine du sexisme et du validisme (</w:t>
      </w:r>
      <w:r w:rsidR="00C63D4F">
        <w:rPr>
          <w:rFonts w:cstheme="minorHAnsi"/>
          <w:sz w:val="24"/>
          <w:szCs w:val="24"/>
        </w:rPr>
        <w:t>c</w:t>
      </w:r>
      <w:r w:rsidRPr="00A20D64">
        <w:rPr>
          <w:rFonts w:cstheme="minorHAnsi"/>
          <w:sz w:val="24"/>
          <w:szCs w:val="24"/>
        </w:rPr>
        <w:t xml:space="preserve">e système social dévalorisant le handicap). Comme l’explique Maudy PIOT, ancienne présidente de l’association Femmes pour le Dire, Femmes pour Agir, « l’angoisse de la solitude, l’angoisse du rejet, l’angoisse de l’exclusion fait que les femmes se taisent. » </w:t>
      </w:r>
    </w:p>
    <w:p w:rsidR="00A20D64" w:rsidRPr="00A20D64" w:rsidRDefault="00A20D64" w:rsidP="00A20D64">
      <w:pPr>
        <w:ind w:firstLine="284"/>
        <w:rPr>
          <w:rFonts w:cstheme="minorHAnsi"/>
          <w:sz w:val="24"/>
          <w:szCs w:val="24"/>
        </w:rPr>
      </w:pPr>
      <w:r w:rsidRPr="00A20D64">
        <w:rPr>
          <w:rFonts w:cstheme="minorHAnsi"/>
          <w:sz w:val="24"/>
          <w:szCs w:val="24"/>
        </w:rPr>
        <w:t xml:space="preserve">Elles se taisent encore plus que les femmes dites “valides”. » </w:t>
      </w:r>
      <w:r w:rsidR="00C63D4F">
        <w:rPr>
          <w:rFonts w:cstheme="minorHAnsi"/>
          <w:sz w:val="24"/>
          <w:szCs w:val="24"/>
        </w:rPr>
        <w:t>Plus a</w:t>
      </w:r>
      <w:r w:rsidRPr="00A20D64">
        <w:rPr>
          <w:rFonts w:cstheme="minorHAnsi"/>
          <w:sz w:val="24"/>
          <w:szCs w:val="24"/>
        </w:rPr>
        <w:t>gressées, elles se retrouvent encore plus méprisées. En difficulté de communication, il est fa</w:t>
      </w:r>
      <w:r w:rsidRPr="00A20D64">
        <w:rPr>
          <w:sz w:val="24"/>
          <w:szCs w:val="24"/>
        </w:rPr>
        <w:t>cile de ne pas les croire.</w:t>
      </w:r>
      <w:r w:rsidR="007F213D">
        <w:rPr>
          <w:sz w:val="24"/>
          <w:szCs w:val="24"/>
        </w:rPr>
        <w:t xml:space="preserve"> </w:t>
      </w:r>
      <w:r w:rsidRPr="00A20D64">
        <w:rPr>
          <w:rFonts w:cstheme="minorHAnsi"/>
          <w:sz w:val="24"/>
          <w:szCs w:val="24"/>
        </w:rPr>
        <w:t>Une de leur pire souffrance est de ne pas être reconnues victimes. Les conséquences psychiques et physiques des agressions sont masquées. Tout est mis sur le compte d’une évolution du handicap. Elles sont exclues d’emblées et l’impunité des agresseurs toujours protégée.</w:t>
      </w:r>
    </w:p>
    <w:p w:rsidR="00A20D64" w:rsidRPr="00A20D64" w:rsidRDefault="00A20D64" w:rsidP="00A20D64">
      <w:pPr>
        <w:ind w:left="644" w:hanging="360"/>
        <w:contextualSpacing/>
        <w:outlineLvl w:val="0"/>
        <w:rPr>
          <w:rFonts w:ascii="Arial Black" w:hAnsi="Arial Black"/>
          <w:color w:val="0070C0"/>
          <w:sz w:val="28"/>
          <w:szCs w:val="28"/>
        </w:rPr>
      </w:pPr>
      <w:r w:rsidRPr="00A20D64">
        <w:rPr>
          <w:rFonts w:ascii="Arial Black" w:hAnsi="Arial Black"/>
          <w:color w:val="0070C0"/>
          <w:sz w:val="28"/>
          <w:szCs w:val="28"/>
        </w:rPr>
        <w:t>QUELQUE CHOSE DE RECIDIVANT.</w:t>
      </w:r>
    </w:p>
    <w:p w:rsidR="00A20D64" w:rsidRPr="00A20D64" w:rsidRDefault="00A20D64" w:rsidP="00123BC1">
      <w:pPr>
        <w:ind w:firstLine="284"/>
        <w:contextualSpacing/>
        <w:rPr>
          <w:rFonts w:cstheme="minorHAnsi"/>
          <w:color w:val="000000" w:themeColor="text1"/>
          <w:sz w:val="28"/>
          <w:szCs w:val="28"/>
        </w:rPr>
      </w:pPr>
      <w:r w:rsidRPr="00A20D64">
        <w:rPr>
          <w:rFonts w:cstheme="minorHAnsi"/>
          <w:b/>
          <w:bCs/>
          <w:sz w:val="24"/>
          <w:szCs w:val="24"/>
        </w:rPr>
        <w:t>L’Etude HandiGynéco-Ile-de-</w:t>
      </w:r>
      <w:r w:rsidR="00C63D4F" w:rsidRPr="00566570">
        <w:rPr>
          <w:rFonts w:cstheme="minorHAnsi"/>
          <w:b/>
          <w:bCs/>
          <w:sz w:val="24"/>
          <w:szCs w:val="24"/>
        </w:rPr>
        <w:t>France</w:t>
      </w:r>
      <w:r w:rsidR="00C63D4F">
        <w:rPr>
          <w:rFonts w:cstheme="minorHAnsi"/>
          <w:sz w:val="24"/>
          <w:szCs w:val="24"/>
        </w:rPr>
        <w:t xml:space="preserve"> de 2017</w:t>
      </w:r>
      <w:r w:rsidRPr="00A20D64">
        <w:rPr>
          <w:rFonts w:cstheme="minorHAnsi"/>
          <w:sz w:val="24"/>
          <w:szCs w:val="24"/>
        </w:rPr>
        <w:t xml:space="preserve"> établit le Diagnostic de la filière de soins gynécologiques et obstétricaux sur le territoire francilien </w:t>
      </w:r>
      <w:r w:rsidRPr="00A20D64">
        <w:rPr>
          <w:rFonts w:cstheme="minorHAnsi"/>
          <w:sz w:val="24"/>
          <w:szCs w:val="24"/>
          <w:vertAlign w:val="superscript"/>
        </w:rPr>
        <w:footnoteReference w:id="5"/>
      </w:r>
      <w:r w:rsidR="00C16A3A">
        <w:rPr>
          <w:rFonts w:cstheme="minorHAnsi"/>
          <w:sz w:val="24"/>
          <w:szCs w:val="24"/>
        </w:rPr>
        <w:t xml:space="preserve">, </w:t>
      </w:r>
      <w:r w:rsidR="007F213D">
        <w:rPr>
          <w:rFonts w:cstheme="minorHAnsi"/>
          <w:sz w:val="24"/>
          <w:szCs w:val="24"/>
        </w:rPr>
        <w:t xml:space="preserve">et </w:t>
      </w:r>
      <w:r w:rsidRPr="00A20D64">
        <w:rPr>
          <w:rFonts w:cstheme="minorHAnsi"/>
          <w:sz w:val="24"/>
          <w:szCs w:val="24"/>
        </w:rPr>
        <w:t>montr</w:t>
      </w:r>
      <w:r w:rsidR="00C16A3A">
        <w:rPr>
          <w:rFonts w:cstheme="minorHAnsi"/>
          <w:sz w:val="24"/>
          <w:szCs w:val="24"/>
        </w:rPr>
        <w:t>e</w:t>
      </w:r>
      <w:r w:rsidRPr="00A20D64">
        <w:rPr>
          <w:rFonts w:cstheme="minorHAnsi"/>
          <w:sz w:val="24"/>
          <w:szCs w:val="24"/>
        </w:rPr>
        <w:t xml:space="preserve"> que </w:t>
      </w:r>
      <w:r w:rsidRPr="00A20D64">
        <w:lastRenderedPageBreak/>
        <w:t>L’</w:t>
      </w:r>
      <w:r w:rsidRPr="00A20D64">
        <w:rPr>
          <w:rFonts w:cstheme="minorHAnsi"/>
          <w:sz w:val="24"/>
          <w:szCs w:val="24"/>
        </w:rPr>
        <w:t xml:space="preserve">HOSPITALISATION en gynéco-obstétrique est toujours une expérience traumatisante (isolement, problème </w:t>
      </w:r>
      <w:r w:rsidR="007F213D">
        <w:rPr>
          <w:rFonts w:cstheme="minorHAnsi"/>
          <w:sz w:val="24"/>
          <w:szCs w:val="24"/>
        </w:rPr>
        <w:t xml:space="preserve">de </w:t>
      </w:r>
      <w:r w:rsidRPr="00A20D64">
        <w:rPr>
          <w:rFonts w:cstheme="minorHAnsi"/>
          <w:sz w:val="24"/>
          <w:szCs w:val="24"/>
        </w:rPr>
        <w:t xml:space="preserve">communication) </w:t>
      </w:r>
      <w:r w:rsidRPr="00A20D64">
        <w:rPr>
          <w:color w:val="000000" w:themeColor="text1"/>
          <w:sz w:val="24"/>
          <w:szCs w:val="24"/>
        </w:rPr>
        <w:t>La peur d’un hôpital qui les agresse favorise les abandons ou les refus de soins et le repli sur soi.</w:t>
      </w:r>
    </w:p>
    <w:p w:rsidR="00A20D64" w:rsidRPr="00A20D64" w:rsidRDefault="00BA129D" w:rsidP="00A20D64">
      <w:pPr>
        <w:rPr>
          <w:rFonts w:cstheme="minorHAnsi"/>
          <w:color w:val="000000" w:themeColor="text1"/>
          <w:sz w:val="24"/>
          <w:szCs w:val="24"/>
        </w:rPr>
      </w:pPr>
      <w:r w:rsidRPr="00BA129D">
        <w:rPr>
          <w:rFonts w:cstheme="minorHAnsi"/>
          <w:b/>
          <w:bCs/>
          <w:color w:val="000000" w:themeColor="text1"/>
          <w:sz w:val="24"/>
          <w:szCs w:val="24"/>
        </w:rPr>
        <w:t>L</w:t>
      </w:r>
      <w:r w:rsidR="00A20D64" w:rsidRPr="00A20D64">
        <w:rPr>
          <w:rFonts w:cstheme="minorHAnsi"/>
          <w:b/>
          <w:bCs/>
          <w:color w:val="000000" w:themeColor="text1"/>
          <w:sz w:val="24"/>
          <w:szCs w:val="24"/>
        </w:rPr>
        <w:t>es causes</w:t>
      </w:r>
      <w:r w:rsidR="007F213D">
        <w:rPr>
          <w:rFonts w:cstheme="minorHAnsi"/>
          <w:b/>
          <w:bCs/>
          <w:color w:val="000000" w:themeColor="text1"/>
          <w:sz w:val="24"/>
          <w:szCs w:val="24"/>
        </w:rPr>
        <w:t xml:space="preserve"> </w:t>
      </w:r>
      <w:r>
        <w:rPr>
          <w:rFonts w:cstheme="minorHAnsi"/>
          <w:color w:val="000000" w:themeColor="text1"/>
          <w:sz w:val="24"/>
          <w:szCs w:val="24"/>
        </w:rPr>
        <w:t xml:space="preserve">naissent </w:t>
      </w:r>
      <w:r w:rsidR="00A20D64" w:rsidRPr="00A20D64">
        <w:rPr>
          <w:rFonts w:cstheme="minorHAnsi"/>
          <w:color w:val="000000" w:themeColor="text1"/>
          <w:sz w:val="24"/>
          <w:szCs w:val="24"/>
        </w:rPr>
        <w:t>d</w:t>
      </w:r>
      <w:r>
        <w:rPr>
          <w:rFonts w:cstheme="minorHAnsi"/>
          <w:color w:val="000000" w:themeColor="text1"/>
          <w:sz w:val="24"/>
          <w:szCs w:val="24"/>
        </w:rPr>
        <w:t>e</w:t>
      </w:r>
      <w:r w:rsidR="007F213D">
        <w:rPr>
          <w:rFonts w:cstheme="minorHAnsi"/>
          <w:color w:val="000000" w:themeColor="text1"/>
          <w:sz w:val="24"/>
          <w:szCs w:val="24"/>
        </w:rPr>
        <w:t xml:space="preserve"> </w:t>
      </w:r>
      <w:r w:rsidR="00A20D64" w:rsidRPr="00A20D64">
        <w:rPr>
          <w:rFonts w:cstheme="minorHAnsi"/>
          <w:b/>
          <w:bCs/>
          <w:color w:val="000000" w:themeColor="text1"/>
          <w:sz w:val="24"/>
          <w:szCs w:val="24"/>
        </w:rPr>
        <w:t>la conjonction de</w:t>
      </w:r>
      <w:r w:rsidRPr="00AA6BA7">
        <w:rPr>
          <w:rFonts w:cstheme="minorHAnsi"/>
          <w:b/>
          <w:bCs/>
          <w:color w:val="000000" w:themeColor="text1"/>
          <w:sz w:val="24"/>
          <w:szCs w:val="24"/>
        </w:rPr>
        <w:t>s ignorances</w:t>
      </w:r>
      <w:r w:rsidR="00A20D64" w:rsidRPr="00A20D64">
        <w:rPr>
          <w:rFonts w:cstheme="minorHAnsi"/>
          <w:color w:val="000000" w:themeColor="text1"/>
          <w:sz w:val="24"/>
          <w:szCs w:val="24"/>
        </w:rPr>
        <w:t xml:space="preserve"> : </w:t>
      </w:r>
    </w:p>
    <w:p w:rsidR="00A20D64" w:rsidRPr="00A20D64" w:rsidRDefault="00A20D64" w:rsidP="00A20D64">
      <w:pPr>
        <w:rPr>
          <w:rFonts w:cstheme="minorHAnsi"/>
          <w:color w:val="000000" w:themeColor="text1"/>
          <w:sz w:val="24"/>
          <w:szCs w:val="24"/>
        </w:rPr>
      </w:pPr>
      <w:r w:rsidRPr="00A20D64">
        <w:rPr>
          <w:rFonts w:cstheme="minorHAnsi"/>
          <w:b/>
          <w:bCs/>
          <w:color w:val="000000" w:themeColor="text1"/>
          <w:sz w:val="24"/>
          <w:szCs w:val="24"/>
        </w:rPr>
        <w:t>- L’ignorance</w:t>
      </w:r>
      <w:r w:rsidRPr="00A20D64">
        <w:rPr>
          <w:rFonts w:cstheme="minorHAnsi"/>
          <w:color w:val="000000" w:themeColor="text1"/>
          <w:sz w:val="24"/>
          <w:szCs w:val="24"/>
        </w:rPr>
        <w:t xml:space="preserve"> des situations vécues par les femmes handicapées dans leur diversité de handicaps</w:t>
      </w:r>
      <w:r w:rsidR="00BA129D">
        <w:rPr>
          <w:rFonts w:cstheme="minorHAnsi"/>
          <w:color w:val="000000" w:themeColor="text1"/>
          <w:sz w:val="24"/>
          <w:szCs w:val="24"/>
        </w:rPr>
        <w:t> :</w:t>
      </w:r>
      <w:r w:rsidRPr="00A20D64">
        <w:rPr>
          <w:rFonts w:cstheme="minorHAnsi"/>
          <w:color w:val="000000" w:themeColor="text1"/>
          <w:sz w:val="24"/>
          <w:szCs w:val="24"/>
        </w:rPr>
        <w:t xml:space="preserve"> de naissance ou acquis, moteur, psychique, mental, sensoriel, handicap isolé ou polyhandicap.</w:t>
      </w:r>
    </w:p>
    <w:p w:rsidR="00A20D64" w:rsidRPr="00A20D64" w:rsidRDefault="00A20D64" w:rsidP="00A20D64">
      <w:pPr>
        <w:rPr>
          <w:rFonts w:cstheme="minorHAnsi"/>
          <w:color w:val="000000" w:themeColor="text1"/>
          <w:sz w:val="24"/>
          <w:szCs w:val="24"/>
        </w:rPr>
      </w:pPr>
      <w:r w:rsidRPr="00A20D64">
        <w:rPr>
          <w:rFonts w:cstheme="minorHAnsi"/>
          <w:color w:val="000000" w:themeColor="text1"/>
          <w:sz w:val="24"/>
          <w:szCs w:val="24"/>
        </w:rPr>
        <w:t>-</w:t>
      </w:r>
      <w:r w:rsidRPr="00A20D64">
        <w:rPr>
          <w:rFonts w:cstheme="minorHAnsi"/>
          <w:b/>
          <w:bCs/>
          <w:color w:val="000000" w:themeColor="text1"/>
          <w:sz w:val="24"/>
          <w:szCs w:val="24"/>
        </w:rPr>
        <w:t xml:space="preserve"> l’ignorance</w:t>
      </w:r>
      <w:r w:rsidRPr="00A20D64">
        <w:rPr>
          <w:rFonts w:cstheme="minorHAnsi"/>
          <w:color w:val="000000" w:themeColor="text1"/>
          <w:sz w:val="24"/>
          <w:szCs w:val="24"/>
        </w:rPr>
        <w:t xml:space="preserve"> des femmes elles-mêmes sur ce qui relève d’un acte médical consenti ou non et sur leurs droits.</w:t>
      </w:r>
    </w:p>
    <w:p w:rsidR="00A20D64" w:rsidRPr="00A20D64" w:rsidRDefault="00A20D64" w:rsidP="00A20D64">
      <w:pPr>
        <w:rPr>
          <w:rFonts w:cstheme="minorHAnsi"/>
          <w:color w:val="000000" w:themeColor="text1"/>
          <w:sz w:val="24"/>
          <w:szCs w:val="24"/>
        </w:rPr>
      </w:pPr>
      <w:r w:rsidRPr="00A20D64">
        <w:rPr>
          <w:rFonts w:cstheme="minorHAnsi"/>
          <w:b/>
          <w:bCs/>
          <w:color w:val="000000" w:themeColor="text1"/>
          <w:sz w:val="24"/>
          <w:szCs w:val="24"/>
        </w:rPr>
        <w:t xml:space="preserve"> - l</w:t>
      </w:r>
      <w:r w:rsidR="00BA129D" w:rsidRPr="00AA6BA7">
        <w:rPr>
          <w:rFonts w:cstheme="minorHAnsi"/>
          <w:b/>
          <w:bCs/>
          <w:color w:val="000000" w:themeColor="text1"/>
          <w:sz w:val="24"/>
          <w:szCs w:val="24"/>
        </w:rPr>
        <w:t>’ignorance</w:t>
      </w:r>
      <w:r w:rsidR="00BA129D">
        <w:rPr>
          <w:rFonts w:cstheme="minorHAnsi"/>
          <w:color w:val="000000" w:themeColor="text1"/>
          <w:sz w:val="24"/>
          <w:szCs w:val="24"/>
        </w:rPr>
        <w:t xml:space="preserve"> par</w:t>
      </w:r>
      <w:r w:rsidRPr="00A20D64">
        <w:rPr>
          <w:rFonts w:cstheme="minorHAnsi"/>
          <w:color w:val="000000" w:themeColor="text1"/>
          <w:sz w:val="24"/>
          <w:szCs w:val="24"/>
        </w:rPr>
        <w:t xml:space="preserve"> manque de formation </w:t>
      </w:r>
      <w:r w:rsidR="00566570">
        <w:rPr>
          <w:rFonts w:cstheme="minorHAnsi"/>
          <w:color w:val="000000" w:themeColor="text1"/>
          <w:sz w:val="24"/>
          <w:szCs w:val="24"/>
        </w:rPr>
        <w:t xml:space="preserve">et les conditions de travail </w:t>
      </w:r>
      <w:r w:rsidR="00BA129D">
        <w:rPr>
          <w:rFonts w:cstheme="minorHAnsi"/>
          <w:color w:val="000000" w:themeColor="text1"/>
          <w:sz w:val="24"/>
          <w:szCs w:val="24"/>
        </w:rPr>
        <w:t xml:space="preserve">épuisantes </w:t>
      </w:r>
      <w:r w:rsidRPr="00A20D64">
        <w:rPr>
          <w:rFonts w:cstheme="minorHAnsi"/>
          <w:color w:val="000000" w:themeColor="text1"/>
          <w:sz w:val="24"/>
          <w:szCs w:val="24"/>
        </w:rPr>
        <w:t>des professionnels de santé</w:t>
      </w:r>
      <w:r w:rsidR="00AA6BA7">
        <w:rPr>
          <w:rFonts w:cstheme="minorHAnsi"/>
          <w:color w:val="000000" w:themeColor="text1"/>
          <w:sz w:val="24"/>
          <w:szCs w:val="24"/>
        </w:rPr>
        <w:t>.</w:t>
      </w:r>
    </w:p>
    <w:p w:rsidR="00A20D64" w:rsidRPr="00A20D64" w:rsidRDefault="00A20D64" w:rsidP="00A20D64">
      <w:pPr>
        <w:rPr>
          <w:rFonts w:cstheme="minorHAnsi"/>
          <w:color w:val="000000" w:themeColor="text1"/>
          <w:sz w:val="24"/>
          <w:szCs w:val="24"/>
        </w:rPr>
      </w:pPr>
      <w:r w:rsidRPr="00A20D64">
        <w:rPr>
          <w:rFonts w:cstheme="minorHAnsi"/>
          <w:color w:val="000000" w:themeColor="text1"/>
          <w:sz w:val="24"/>
          <w:szCs w:val="24"/>
        </w:rPr>
        <w:t xml:space="preserve">- </w:t>
      </w:r>
      <w:r w:rsidR="00566570">
        <w:rPr>
          <w:rFonts w:cstheme="minorHAnsi"/>
          <w:color w:val="000000" w:themeColor="text1"/>
          <w:sz w:val="24"/>
          <w:szCs w:val="24"/>
        </w:rPr>
        <w:t>Le</w:t>
      </w:r>
      <w:r w:rsidRPr="00A20D64">
        <w:rPr>
          <w:rFonts w:cstheme="minorHAnsi"/>
          <w:color w:val="000000" w:themeColor="text1"/>
          <w:sz w:val="24"/>
          <w:szCs w:val="24"/>
        </w:rPr>
        <w:t xml:space="preserve"> manque de visibilité et de soutien des associations de patientes et de victimes.</w:t>
      </w:r>
    </w:p>
    <w:p w:rsidR="00A20D64" w:rsidRPr="00A20D64" w:rsidRDefault="00A20D64" w:rsidP="00A20D64">
      <w:pPr>
        <w:rPr>
          <w:rFonts w:cstheme="minorHAnsi"/>
          <w:sz w:val="24"/>
          <w:szCs w:val="24"/>
        </w:rPr>
      </w:pPr>
      <w:r w:rsidRPr="00A20D64">
        <w:rPr>
          <w:rFonts w:cstheme="minorHAnsi"/>
          <w:b/>
          <w:bCs/>
          <w:sz w:val="24"/>
          <w:szCs w:val="24"/>
        </w:rPr>
        <w:t>Avec un handicap moteur</w:t>
      </w:r>
      <w:r w:rsidRPr="00A20D64">
        <w:rPr>
          <w:rFonts w:cstheme="minorHAnsi"/>
          <w:sz w:val="24"/>
          <w:szCs w:val="24"/>
        </w:rPr>
        <w:t xml:space="preserve">, la consultation nécessite plus d'aide et de temps. Mais </w:t>
      </w:r>
      <w:r w:rsidR="00BA129D" w:rsidRPr="00A20D64">
        <w:rPr>
          <w:rFonts w:cstheme="minorHAnsi"/>
          <w:sz w:val="24"/>
          <w:szCs w:val="24"/>
        </w:rPr>
        <w:t>les lieux de soins ne sont pas adaptés</w:t>
      </w:r>
      <w:r w:rsidRPr="00A20D64">
        <w:rPr>
          <w:rFonts w:cstheme="minorHAnsi"/>
          <w:sz w:val="24"/>
          <w:szCs w:val="24"/>
          <w:vertAlign w:val="superscript"/>
        </w:rPr>
        <w:footnoteReference w:id="6"/>
      </w:r>
      <w:r w:rsidRPr="00A20D64">
        <w:rPr>
          <w:rFonts w:cstheme="minorHAnsi"/>
          <w:sz w:val="24"/>
          <w:szCs w:val="24"/>
        </w:rPr>
        <w:t>. Posées sur la table</w:t>
      </w:r>
      <w:r w:rsidR="007F213D">
        <w:rPr>
          <w:rFonts w:cstheme="minorHAnsi"/>
          <w:sz w:val="24"/>
          <w:szCs w:val="24"/>
        </w:rPr>
        <w:t xml:space="preserve"> </w:t>
      </w:r>
      <w:r w:rsidR="00C16A3A" w:rsidRPr="00A20D64">
        <w:rPr>
          <w:rFonts w:cstheme="minorHAnsi"/>
          <w:sz w:val="24"/>
          <w:szCs w:val="24"/>
        </w:rPr>
        <w:t>comme un objet</w:t>
      </w:r>
      <w:r w:rsidRPr="00A20D64">
        <w:rPr>
          <w:rFonts w:cstheme="minorHAnsi"/>
          <w:sz w:val="24"/>
          <w:szCs w:val="24"/>
        </w:rPr>
        <w:t xml:space="preserve"> par d</w:t>
      </w:r>
      <w:r w:rsidR="00BA129D">
        <w:rPr>
          <w:rFonts w:cstheme="minorHAnsi"/>
          <w:sz w:val="24"/>
          <w:szCs w:val="24"/>
        </w:rPr>
        <w:t>es tiers</w:t>
      </w:r>
      <w:r w:rsidRPr="00A20D64">
        <w:rPr>
          <w:rFonts w:cstheme="minorHAnsi"/>
          <w:sz w:val="24"/>
          <w:szCs w:val="24"/>
        </w:rPr>
        <w:t xml:space="preserve">, une femme handicapée n’est pas examinée si elle ne peut pas écarter les jambes. </w:t>
      </w:r>
      <w:r w:rsidR="00BA129D" w:rsidRPr="00A20D64">
        <w:rPr>
          <w:rFonts w:cstheme="minorHAnsi"/>
          <w:sz w:val="24"/>
          <w:szCs w:val="24"/>
        </w:rPr>
        <w:t xml:space="preserve">Elle devrait toujours bénéficier d’une bonne accessibilité des locaux et de la table d'examen. </w:t>
      </w:r>
      <w:r w:rsidRPr="00A20D64">
        <w:rPr>
          <w:rFonts w:cstheme="minorHAnsi"/>
          <w:sz w:val="24"/>
          <w:szCs w:val="24"/>
        </w:rPr>
        <w:t xml:space="preserve">La plus grande part de l'examen clinique doit pouvoir être pratiqué depuis son fauteuil. Mais les femmes en situation de handicap ne peuvent pas choisir leur praticien.ne, parce qu’il n’y a que 3 services hospitaliers adaptés à Paris et qu’en France, plus de 50% n'ont même pas de médecin traitant. </w:t>
      </w:r>
    </w:p>
    <w:p w:rsidR="00A20D64" w:rsidRPr="00A20D64" w:rsidRDefault="00A20D64" w:rsidP="00A20D64">
      <w:pPr>
        <w:rPr>
          <w:rFonts w:cstheme="minorHAnsi"/>
          <w:sz w:val="24"/>
          <w:szCs w:val="24"/>
        </w:rPr>
      </w:pPr>
      <w:r w:rsidRPr="00A20D64">
        <w:rPr>
          <w:rFonts w:cstheme="minorHAnsi"/>
          <w:b/>
          <w:bCs/>
          <w:sz w:val="24"/>
          <w:szCs w:val="24"/>
        </w:rPr>
        <w:t>Avec un handicap psychique</w:t>
      </w:r>
      <w:r w:rsidRPr="00A20D64">
        <w:rPr>
          <w:rFonts w:cstheme="minorHAnsi"/>
          <w:sz w:val="24"/>
          <w:szCs w:val="24"/>
        </w:rPr>
        <w:t>, il faut plus d'explications sur la notion du corps (utiliser des dessins anatomiques permettant de désigner les parties du corps</w:t>
      </w:r>
      <w:r w:rsidR="00C16A3A">
        <w:rPr>
          <w:rFonts w:cstheme="minorHAnsi"/>
          <w:sz w:val="24"/>
          <w:szCs w:val="24"/>
        </w:rPr>
        <w:t xml:space="preserve"> en souffrance</w:t>
      </w:r>
      <w:r w:rsidRPr="00A20D64">
        <w:rPr>
          <w:rFonts w:cstheme="minorHAnsi"/>
          <w:sz w:val="24"/>
          <w:szCs w:val="24"/>
        </w:rPr>
        <w:t>). Il faut plus de temps, plus de clarté dans le déroulement de la séance, en utilisant un langage simple et facile à comprendre. Il faut éviter les bruits violents et utiliser un éclairage moins intense...</w:t>
      </w:r>
    </w:p>
    <w:p w:rsidR="00A20D64" w:rsidRPr="00A20D64" w:rsidRDefault="00A20D64" w:rsidP="00A20D64">
      <w:pPr>
        <w:rPr>
          <w:rFonts w:cstheme="minorHAnsi"/>
          <w:sz w:val="24"/>
          <w:szCs w:val="24"/>
        </w:rPr>
      </w:pPr>
      <w:r w:rsidRPr="00A20D64">
        <w:rPr>
          <w:rFonts w:cstheme="minorHAnsi"/>
          <w:b/>
          <w:bCs/>
          <w:sz w:val="24"/>
          <w:szCs w:val="24"/>
        </w:rPr>
        <w:t>Avec un handicap visuel ou auditif</w:t>
      </w:r>
      <w:r w:rsidRPr="00A20D64">
        <w:rPr>
          <w:rFonts w:cstheme="minorHAnsi"/>
          <w:sz w:val="24"/>
          <w:szCs w:val="24"/>
        </w:rPr>
        <w:t>, il faut consacrer le temps indispensable correspondant au besoin d'explications sur les locaux, sur les gestes pratiqués et sur les personnes présentes. L’utilisation de supports complémentaires (dessins, fiches, etc.) se révèle très utile. L’acceptation de la présence d'un chien guide doit être automatique.</w:t>
      </w:r>
      <w:r w:rsidR="00C16A3A">
        <w:rPr>
          <w:rStyle w:val="Appelnotedebasdep"/>
          <w:rFonts w:cstheme="minorHAnsi"/>
          <w:sz w:val="24"/>
          <w:szCs w:val="24"/>
        </w:rPr>
        <w:footnoteReference w:id="7"/>
      </w:r>
    </w:p>
    <w:p w:rsidR="00A20D64" w:rsidRDefault="00A20D64" w:rsidP="00A20D64">
      <w:pPr>
        <w:rPr>
          <w:rFonts w:cstheme="minorHAnsi"/>
          <w:sz w:val="24"/>
          <w:szCs w:val="24"/>
        </w:rPr>
      </w:pPr>
      <w:r w:rsidRPr="00A20D64">
        <w:rPr>
          <w:rFonts w:cstheme="minorHAnsi"/>
          <w:b/>
          <w:bCs/>
          <w:sz w:val="24"/>
          <w:szCs w:val="24"/>
        </w:rPr>
        <w:t>Dans les établissements médico-sociaux,</w:t>
      </w:r>
      <w:r w:rsidRPr="00A20D64">
        <w:rPr>
          <w:rFonts w:cstheme="minorHAnsi"/>
          <w:sz w:val="24"/>
          <w:szCs w:val="24"/>
        </w:rPr>
        <w:t xml:space="preserve"> la négligence des actes de prévention médicale est délétère. Quand une tumeur du sein est découverte, elle est en moyenne 8 fois plus grosse que celle découverte en population générale. </w:t>
      </w:r>
    </w:p>
    <w:p w:rsidR="001C6018" w:rsidRDefault="001C6018" w:rsidP="00A20D64">
      <w:pPr>
        <w:rPr>
          <w:rFonts w:cstheme="minorHAnsi"/>
          <w:sz w:val="24"/>
          <w:szCs w:val="24"/>
        </w:rPr>
      </w:pPr>
      <w:r>
        <w:rPr>
          <w:rFonts w:cstheme="minorHAnsi"/>
          <w:sz w:val="24"/>
          <w:szCs w:val="24"/>
        </w:rPr>
        <w:t>C</w:t>
      </w:r>
      <w:r w:rsidRPr="001C6018">
        <w:rPr>
          <w:rFonts w:cstheme="minorHAnsi"/>
          <w:sz w:val="24"/>
          <w:szCs w:val="24"/>
        </w:rPr>
        <w:t>onsidérées comme asexuelles ou sexuellement inactives</w:t>
      </w:r>
      <w:r>
        <w:rPr>
          <w:rFonts w:cstheme="minorHAnsi"/>
          <w:sz w:val="24"/>
          <w:szCs w:val="24"/>
        </w:rPr>
        <w:t xml:space="preserve">, </w:t>
      </w:r>
      <w:r w:rsidRPr="001C6018">
        <w:rPr>
          <w:rFonts w:cstheme="minorHAnsi"/>
          <w:sz w:val="24"/>
          <w:szCs w:val="24"/>
        </w:rPr>
        <w:t>« les filles et les jeunes femmes handicapées subissent fréquemment des pressions pour mettre un terme à leur grossesse à cause de stéréotypes négatifs sur leurs supposées capacités parentales réduites et de préoccupations eugéniques sur les possibilités de donner naissance à des handicapés »</w:t>
      </w:r>
      <w:r>
        <w:rPr>
          <w:rStyle w:val="Appelnotedebasdep"/>
          <w:rFonts w:cstheme="minorHAnsi"/>
          <w:sz w:val="24"/>
          <w:szCs w:val="24"/>
        </w:rPr>
        <w:footnoteReference w:id="8"/>
      </w:r>
      <w:r w:rsidRPr="001C6018">
        <w:rPr>
          <w:rFonts w:cstheme="minorHAnsi"/>
          <w:sz w:val="24"/>
          <w:szCs w:val="24"/>
        </w:rPr>
        <w:t xml:space="preserve">   .</w:t>
      </w:r>
    </w:p>
    <w:p w:rsidR="00A20D64" w:rsidRPr="002400E0" w:rsidRDefault="00123BC1" w:rsidP="00A20D64">
      <w:pPr>
        <w:rPr>
          <w:rFonts w:eastAsia="Times New Roman" w:cstheme="minorHAnsi"/>
          <w:b/>
          <w:bCs/>
          <w:color w:val="000000" w:themeColor="text1"/>
          <w:sz w:val="24"/>
          <w:szCs w:val="24"/>
          <w:lang w:eastAsia="fr-FR"/>
        </w:rPr>
      </w:pPr>
      <w:r w:rsidRPr="00A20D64">
        <w:rPr>
          <w:rFonts w:eastAsia="Times New Roman" w:cstheme="minorHAnsi"/>
          <w:b/>
          <w:bCs/>
          <w:color w:val="000000" w:themeColor="text1"/>
          <w:sz w:val="24"/>
          <w:szCs w:val="24"/>
          <w:lang w:eastAsia="fr-FR"/>
        </w:rPr>
        <w:t>Désinformation, non-respect du consentement</w:t>
      </w:r>
      <w:r w:rsidRPr="00A20D64">
        <w:rPr>
          <w:rFonts w:eastAsia="Times New Roman" w:cstheme="minorHAnsi"/>
          <w:color w:val="000000" w:themeColor="text1"/>
          <w:sz w:val="24"/>
          <w:szCs w:val="24"/>
          <w:lang w:eastAsia="fr-FR"/>
        </w:rPr>
        <w:t>, déni des souffrances et des symptômes, gestes médicaux inutiles, traitements forcés, attouchements et agressions sexuelles composent le quotidien médical de</w:t>
      </w:r>
      <w:r w:rsidR="00C5317C">
        <w:rPr>
          <w:rFonts w:eastAsia="Times New Roman" w:cstheme="minorHAnsi"/>
          <w:color w:val="000000" w:themeColor="text1"/>
          <w:sz w:val="24"/>
          <w:szCs w:val="24"/>
          <w:lang w:eastAsia="fr-FR"/>
        </w:rPr>
        <w:t xml:space="preserve"> ce</w:t>
      </w:r>
      <w:r w:rsidRPr="00A20D64">
        <w:rPr>
          <w:rFonts w:eastAsia="Times New Roman" w:cstheme="minorHAnsi"/>
          <w:color w:val="000000" w:themeColor="text1"/>
          <w:sz w:val="24"/>
          <w:szCs w:val="24"/>
          <w:lang w:eastAsia="fr-FR"/>
        </w:rPr>
        <w:t xml:space="preserve">s femmes. </w:t>
      </w:r>
      <w:r w:rsidR="00C5317C">
        <w:rPr>
          <w:rFonts w:eastAsia="Times New Roman" w:cstheme="minorHAnsi"/>
          <w:color w:val="000000" w:themeColor="text1"/>
          <w:sz w:val="24"/>
          <w:szCs w:val="24"/>
          <w:lang w:eastAsia="fr-FR"/>
        </w:rPr>
        <w:t>L</w:t>
      </w:r>
      <w:r w:rsidRPr="00A20D64">
        <w:rPr>
          <w:rFonts w:eastAsia="Times New Roman" w:cstheme="minorHAnsi"/>
          <w:color w:val="000000" w:themeColor="text1"/>
          <w:sz w:val="24"/>
          <w:szCs w:val="24"/>
          <w:lang w:eastAsia="fr-FR"/>
        </w:rPr>
        <w:t>a médecine occidentale a toujours été un outil de contrôle du corps féminin et de la maternité</w:t>
      </w:r>
      <w:r w:rsidR="00C5317C">
        <w:rPr>
          <w:rFonts w:eastAsia="Times New Roman" w:cstheme="minorHAnsi"/>
          <w:color w:val="000000" w:themeColor="text1"/>
          <w:sz w:val="24"/>
          <w:szCs w:val="24"/>
          <w:lang w:eastAsia="fr-FR"/>
        </w:rPr>
        <w:t xml:space="preserve">. Pour les femmes dites handicapées, c’est la négation de leur droit d’exister </w:t>
      </w:r>
      <w:r w:rsidR="00C5317C" w:rsidRPr="00AA6BA7">
        <w:rPr>
          <w:rFonts w:eastAsia="Times New Roman" w:cstheme="minorHAnsi"/>
          <w:b/>
          <w:bCs/>
          <w:color w:val="000000" w:themeColor="text1"/>
          <w:sz w:val="24"/>
          <w:szCs w:val="24"/>
          <w:lang w:eastAsia="fr-FR"/>
        </w:rPr>
        <w:t>femmes et citoyennes.</w:t>
      </w:r>
    </w:p>
    <w:p w:rsidR="00A20D64" w:rsidRPr="00A20D64" w:rsidRDefault="00A20D64" w:rsidP="00A20D64">
      <w:pPr>
        <w:ind w:left="644" w:hanging="360"/>
        <w:contextualSpacing/>
        <w:outlineLvl w:val="0"/>
        <w:rPr>
          <w:rFonts w:ascii="Arial Black" w:hAnsi="Arial Black"/>
          <w:color w:val="0070C0"/>
          <w:sz w:val="28"/>
          <w:szCs w:val="28"/>
        </w:rPr>
      </w:pPr>
      <w:r w:rsidRPr="00A20D64">
        <w:rPr>
          <w:rFonts w:ascii="Arial Black" w:hAnsi="Arial Black"/>
          <w:color w:val="0070C0"/>
          <w:sz w:val="28"/>
          <w:szCs w:val="28"/>
        </w:rPr>
        <w:t xml:space="preserve">QUELQUE CHOSE DE REMÉDIABLE. </w:t>
      </w:r>
    </w:p>
    <w:p w:rsidR="00A20D64" w:rsidRPr="00A20D64" w:rsidRDefault="00A20D64" w:rsidP="00A20D64">
      <w:pPr>
        <w:rPr>
          <w:rFonts w:cstheme="minorHAnsi"/>
          <w:sz w:val="24"/>
          <w:szCs w:val="24"/>
        </w:rPr>
      </w:pPr>
      <w:r w:rsidRPr="00A20D64">
        <w:rPr>
          <w:rFonts w:cstheme="minorHAnsi"/>
          <w:color w:val="FF0000"/>
          <w:sz w:val="24"/>
          <w:szCs w:val="24"/>
        </w:rPr>
        <w:t>Proposition 1:</w:t>
      </w:r>
      <w:r w:rsidRPr="00A20D64">
        <w:rPr>
          <w:rFonts w:cstheme="minorHAnsi"/>
          <w:sz w:val="24"/>
          <w:szCs w:val="24"/>
        </w:rPr>
        <w:t xml:space="preserve"> Mettre en place des </w:t>
      </w:r>
      <w:bookmarkStart w:id="0" w:name="_Hlk96617844"/>
      <w:r w:rsidRPr="00A20D64">
        <w:rPr>
          <w:rFonts w:cstheme="minorHAnsi"/>
          <w:b/>
          <w:bCs/>
          <w:sz w:val="24"/>
          <w:szCs w:val="24"/>
        </w:rPr>
        <w:t>CENTRES DE SOINS-RESSOURCES</w:t>
      </w:r>
      <w:r w:rsidR="007F213D">
        <w:rPr>
          <w:rFonts w:cstheme="minorHAnsi"/>
          <w:b/>
          <w:bCs/>
          <w:sz w:val="24"/>
          <w:szCs w:val="24"/>
        </w:rPr>
        <w:t xml:space="preserve"> </w:t>
      </w:r>
      <w:r w:rsidRPr="00A20D64">
        <w:rPr>
          <w:rFonts w:cstheme="minorHAnsi"/>
          <w:b/>
          <w:bCs/>
          <w:sz w:val="24"/>
          <w:szCs w:val="24"/>
        </w:rPr>
        <w:t>de proximité</w:t>
      </w:r>
      <w:bookmarkEnd w:id="0"/>
      <w:r w:rsidRPr="00A20D64">
        <w:rPr>
          <w:rFonts w:cstheme="minorHAnsi"/>
          <w:sz w:val="24"/>
          <w:szCs w:val="24"/>
        </w:rPr>
        <w:t xml:space="preserve">, avec des ÉQUIPES DE SOINS mobiles </w:t>
      </w:r>
      <w:r w:rsidRPr="00A20D64">
        <w:rPr>
          <w:rFonts w:cstheme="minorHAnsi"/>
          <w:i/>
          <w:iCs/>
        </w:rPr>
        <w:t>(infirmière, sage-femme, aidante et paire-aidante, psychologue et conseillère médico-sociale)</w:t>
      </w:r>
      <w:r w:rsidRPr="00A20D64">
        <w:rPr>
          <w:rFonts w:cstheme="minorHAnsi"/>
          <w:sz w:val="24"/>
          <w:szCs w:val="24"/>
        </w:rPr>
        <w:t>, avec l’</w:t>
      </w:r>
      <w:r w:rsidRPr="00A20D64">
        <w:rPr>
          <w:rFonts w:cstheme="minorHAnsi"/>
          <w:b/>
          <w:bCs/>
          <w:color w:val="FF0000"/>
          <w:sz w:val="24"/>
          <w:szCs w:val="24"/>
        </w:rPr>
        <w:t xml:space="preserve">ACCESSIBILITÉ </w:t>
      </w:r>
      <w:r w:rsidRPr="00A20D64">
        <w:rPr>
          <w:rFonts w:cstheme="minorHAnsi"/>
          <w:sz w:val="24"/>
          <w:szCs w:val="24"/>
        </w:rPr>
        <w:t xml:space="preserve">des locaux et le matériel adapté </w:t>
      </w:r>
      <w:r w:rsidRPr="00A20D64">
        <w:rPr>
          <w:rFonts w:cstheme="minorHAnsi"/>
          <w:i/>
          <w:iCs/>
        </w:rPr>
        <w:t>(centres de radiologie accessibles et mammograph</w:t>
      </w:r>
      <w:r w:rsidR="007F213D">
        <w:rPr>
          <w:rFonts w:cstheme="minorHAnsi"/>
          <w:i/>
          <w:iCs/>
        </w:rPr>
        <w:t>i</w:t>
      </w:r>
      <w:r w:rsidRPr="00A20D64">
        <w:rPr>
          <w:rFonts w:cstheme="minorHAnsi"/>
          <w:i/>
          <w:iCs/>
        </w:rPr>
        <w:t>e adapté</w:t>
      </w:r>
      <w:r w:rsidR="007F213D">
        <w:rPr>
          <w:rFonts w:cstheme="minorHAnsi"/>
          <w:i/>
          <w:iCs/>
        </w:rPr>
        <w:t>e</w:t>
      </w:r>
      <w:r w:rsidRPr="00A20D64">
        <w:rPr>
          <w:rFonts w:cstheme="minorHAnsi"/>
          <w:i/>
          <w:iCs/>
        </w:rPr>
        <w:t>)</w:t>
      </w:r>
      <w:r w:rsidR="007F213D">
        <w:rPr>
          <w:rFonts w:cstheme="minorHAnsi"/>
          <w:sz w:val="24"/>
          <w:szCs w:val="24"/>
        </w:rPr>
        <w:t>.</w:t>
      </w:r>
      <w:r w:rsidRPr="00A20D64">
        <w:rPr>
          <w:rFonts w:cstheme="minorHAnsi"/>
          <w:sz w:val="24"/>
          <w:szCs w:val="24"/>
        </w:rPr>
        <w:t xml:space="preserve"> </w:t>
      </w:r>
      <w:r w:rsidR="00A13EE1">
        <w:rPr>
          <w:rFonts w:cstheme="minorHAnsi"/>
          <w:sz w:val="24"/>
          <w:szCs w:val="24"/>
        </w:rPr>
        <w:t xml:space="preserve">Elle </w:t>
      </w:r>
      <w:r w:rsidR="00A13EE1" w:rsidRPr="00A20D64">
        <w:rPr>
          <w:rFonts w:cstheme="minorHAnsi"/>
          <w:sz w:val="24"/>
          <w:szCs w:val="24"/>
        </w:rPr>
        <w:t>doivent pouvoir s</w:t>
      </w:r>
      <w:r w:rsidR="00A13EE1">
        <w:rPr>
          <w:rFonts w:cstheme="minorHAnsi"/>
          <w:sz w:val="24"/>
          <w:szCs w:val="24"/>
        </w:rPr>
        <w:t>e</w:t>
      </w:r>
      <w:r w:rsidR="00A13EE1" w:rsidRPr="00A20D64">
        <w:rPr>
          <w:rFonts w:cstheme="minorHAnsi"/>
          <w:sz w:val="24"/>
          <w:szCs w:val="24"/>
        </w:rPr>
        <w:t xml:space="preserve"> déplacer </w:t>
      </w:r>
      <w:r w:rsidR="00A13EE1">
        <w:rPr>
          <w:rFonts w:cstheme="minorHAnsi"/>
          <w:sz w:val="24"/>
          <w:szCs w:val="24"/>
        </w:rPr>
        <w:t xml:space="preserve">dans les </w:t>
      </w:r>
      <w:r w:rsidR="00A13EE1" w:rsidRPr="00A20D64">
        <w:rPr>
          <w:rFonts w:cstheme="minorHAnsi"/>
          <w:b/>
          <w:bCs/>
          <w:sz w:val="24"/>
          <w:szCs w:val="24"/>
        </w:rPr>
        <w:t xml:space="preserve">établissements médico-sociaux </w:t>
      </w:r>
      <w:r w:rsidR="00A13EE1" w:rsidRPr="00A20D64">
        <w:rPr>
          <w:rFonts w:cstheme="minorHAnsi"/>
          <w:sz w:val="24"/>
          <w:szCs w:val="24"/>
        </w:rPr>
        <w:t>comme au domicile</w:t>
      </w:r>
      <w:r w:rsidR="00A13EE1">
        <w:rPr>
          <w:rFonts w:cstheme="minorHAnsi"/>
          <w:sz w:val="24"/>
          <w:szCs w:val="24"/>
        </w:rPr>
        <w:t xml:space="preserve">. Organisés en </w:t>
      </w:r>
      <w:r w:rsidRPr="00A20D64">
        <w:rPr>
          <w:rFonts w:cstheme="minorHAnsi"/>
          <w:sz w:val="24"/>
          <w:szCs w:val="24"/>
        </w:rPr>
        <w:t>maillage territorial et en lien avec des CENTRES HOSPITALIERS experts (</w:t>
      </w:r>
      <w:r w:rsidRPr="00A20D64">
        <w:rPr>
          <w:rFonts w:cstheme="minorHAnsi"/>
          <w:i/>
          <w:iCs/>
        </w:rPr>
        <w:t>avec des médecins, psychiatres, obstétriciennes et généticiennes formés aux problématiques du handicap)</w:t>
      </w:r>
      <w:r w:rsidRPr="00A20D64">
        <w:rPr>
          <w:rFonts w:cstheme="minorHAnsi"/>
          <w:sz w:val="24"/>
          <w:szCs w:val="24"/>
        </w:rPr>
        <w:t>.</w:t>
      </w:r>
      <w:r w:rsidRPr="00A20D64">
        <w:rPr>
          <w:rFonts w:cstheme="minorHAnsi"/>
          <w:sz w:val="24"/>
          <w:szCs w:val="24"/>
          <w:vertAlign w:val="superscript"/>
        </w:rPr>
        <w:footnoteReference w:id="9"/>
      </w:r>
    </w:p>
    <w:p w:rsidR="00A20D64" w:rsidRPr="00A20D64" w:rsidRDefault="00A20D64" w:rsidP="00A20D64">
      <w:pPr>
        <w:rPr>
          <w:rFonts w:cstheme="minorHAnsi"/>
          <w:color w:val="000000" w:themeColor="text1"/>
          <w:sz w:val="24"/>
          <w:szCs w:val="24"/>
        </w:rPr>
      </w:pPr>
      <w:r w:rsidRPr="00A20D64">
        <w:rPr>
          <w:rFonts w:cstheme="minorHAnsi"/>
          <w:color w:val="FF0000"/>
          <w:sz w:val="24"/>
          <w:szCs w:val="24"/>
        </w:rPr>
        <w:t xml:space="preserve">Proposition </w:t>
      </w:r>
      <w:r w:rsidR="00AA6BA7">
        <w:rPr>
          <w:rFonts w:cstheme="minorHAnsi"/>
          <w:color w:val="FF0000"/>
          <w:sz w:val="24"/>
          <w:szCs w:val="24"/>
        </w:rPr>
        <w:t>2</w:t>
      </w:r>
      <w:r w:rsidRPr="00A20D64">
        <w:rPr>
          <w:rFonts w:cstheme="minorHAnsi"/>
          <w:color w:val="FF0000"/>
          <w:sz w:val="24"/>
          <w:szCs w:val="24"/>
        </w:rPr>
        <w:t xml:space="preserve">: </w:t>
      </w:r>
      <w:r w:rsidRPr="00A20D64">
        <w:rPr>
          <w:rFonts w:cstheme="minorHAnsi"/>
          <w:b/>
          <w:bCs/>
          <w:sz w:val="24"/>
          <w:szCs w:val="24"/>
        </w:rPr>
        <w:t>FORMER tous les professionnels</w:t>
      </w:r>
      <w:r w:rsidRPr="00A20D64">
        <w:rPr>
          <w:rFonts w:cstheme="minorHAnsi"/>
          <w:sz w:val="24"/>
          <w:szCs w:val="24"/>
        </w:rPr>
        <w:t xml:space="preserve"> à la prise en charge des femmes en situation de </w:t>
      </w:r>
      <w:r w:rsidRPr="00A20D64">
        <w:rPr>
          <w:rFonts w:cstheme="minorHAnsi"/>
          <w:color w:val="000000" w:themeColor="text1"/>
          <w:sz w:val="24"/>
          <w:szCs w:val="24"/>
        </w:rPr>
        <w:t xml:space="preserve">handicap </w:t>
      </w:r>
      <w:r w:rsidRPr="00A20D64">
        <w:rPr>
          <w:rFonts w:cstheme="minorHAnsi"/>
          <w:b/>
          <w:bCs/>
          <w:color w:val="000000" w:themeColor="text1"/>
          <w:sz w:val="24"/>
          <w:szCs w:val="24"/>
        </w:rPr>
        <w:t>dans leur diversité</w:t>
      </w:r>
      <w:r w:rsidR="00123BC1">
        <w:rPr>
          <w:rFonts w:cstheme="minorHAnsi"/>
          <w:color w:val="000000" w:themeColor="text1"/>
          <w:sz w:val="24"/>
          <w:szCs w:val="24"/>
        </w:rPr>
        <w:t>,</w:t>
      </w:r>
      <w:r w:rsidR="007F213D">
        <w:rPr>
          <w:rFonts w:cstheme="minorHAnsi"/>
          <w:color w:val="000000" w:themeColor="text1"/>
          <w:sz w:val="24"/>
          <w:szCs w:val="24"/>
        </w:rPr>
        <w:t xml:space="preserve"> </w:t>
      </w:r>
      <w:r w:rsidR="00123BC1" w:rsidRPr="00A20D64">
        <w:rPr>
          <w:rFonts w:cstheme="minorHAnsi"/>
          <w:sz w:val="24"/>
          <w:szCs w:val="24"/>
        </w:rPr>
        <w:t>sur l’importance</w:t>
      </w:r>
      <w:r w:rsidR="007F213D">
        <w:rPr>
          <w:rFonts w:cstheme="minorHAnsi"/>
          <w:sz w:val="24"/>
          <w:szCs w:val="24"/>
        </w:rPr>
        <w:t xml:space="preserve"> </w:t>
      </w:r>
      <w:r w:rsidR="00123BC1" w:rsidRPr="00A20D64">
        <w:rPr>
          <w:rFonts w:cstheme="minorHAnsi"/>
          <w:color w:val="000000" w:themeColor="text1"/>
          <w:sz w:val="24"/>
          <w:szCs w:val="24"/>
        </w:rPr>
        <w:t xml:space="preserve">de la prévention des maladies </w:t>
      </w:r>
      <w:r w:rsidR="00566570" w:rsidRPr="00A20D64">
        <w:rPr>
          <w:rFonts w:cstheme="minorHAnsi"/>
          <w:color w:val="000000" w:themeColor="text1"/>
          <w:sz w:val="24"/>
          <w:szCs w:val="24"/>
        </w:rPr>
        <w:t>gynécologi</w:t>
      </w:r>
      <w:r w:rsidR="00566570">
        <w:rPr>
          <w:rFonts w:cstheme="minorHAnsi"/>
          <w:color w:val="000000" w:themeColor="text1"/>
          <w:sz w:val="24"/>
          <w:szCs w:val="24"/>
        </w:rPr>
        <w:t>ques</w:t>
      </w:r>
      <w:r w:rsidR="007F213D">
        <w:rPr>
          <w:rFonts w:cstheme="minorHAnsi"/>
          <w:color w:val="000000" w:themeColor="text1"/>
          <w:sz w:val="24"/>
          <w:szCs w:val="24"/>
        </w:rPr>
        <w:t xml:space="preserve"> </w:t>
      </w:r>
      <w:r w:rsidRPr="00A20D64">
        <w:rPr>
          <w:rFonts w:cstheme="minorHAnsi"/>
          <w:color w:val="000000" w:themeColor="text1"/>
          <w:sz w:val="24"/>
          <w:szCs w:val="24"/>
        </w:rPr>
        <w:t>et insister sur la nécessité d’informations accessibles aux femmes handicapées.</w:t>
      </w:r>
    </w:p>
    <w:p w:rsidR="00A20D64" w:rsidRPr="00A20D64" w:rsidRDefault="00A20D64" w:rsidP="00A20D64">
      <w:pPr>
        <w:ind w:left="720"/>
        <w:contextualSpacing/>
        <w:rPr>
          <w:rFonts w:cstheme="minorHAnsi"/>
          <w:b/>
          <w:bCs/>
          <w:color w:val="0070C0"/>
          <w:sz w:val="28"/>
          <w:szCs w:val="28"/>
        </w:rPr>
      </w:pPr>
      <w:r w:rsidRPr="00A20D64">
        <w:rPr>
          <w:rFonts w:cstheme="minorHAnsi"/>
          <w:b/>
          <w:bCs/>
          <w:color w:val="0070C0"/>
          <w:sz w:val="28"/>
          <w:szCs w:val="28"/>
        </w:rPr>
        <w:t>Numéros utiles :</w:t>
      </w:r>
    </w:p>
    <w:p w:rsidR="00A20D64" w:rsidRPr="00A20D64" w:rsidRDefault="00A20D64" w:rsidP="00A20D64">
      <w:pPr>
        <w:rPr>
          <w:rFonts w:cstheme="minorHAnsi"/>
          <w:color w:val="0070C0"/>
          <w:sz w:val="24"/>
          <w:szCs w:val="24"/>
        </w:rPr>
      </w:pPr>
      <w:r w:rsidRPr="00A20D64">
        <w:rPr>
          <w:rFonts w:cstheme="minorHAnsi"/>
          <w:color w:val="0070C0"/>
          <w:sz w:val="24"/>
          <w:szCs w:val="24"/>
        </w:rPr>
        <w:t xml:space="preserve">Écoute Violences Femmes Handicapées – 01 40 47 06 06- écoutantes spécialisées de FDFA. </w:t>
      </w:r>
    </w:p>
    <w:p w:rsidR="00A20D64" w:rsidRPr="00A20D64" w:rsidRDefault="00A20D64" w:rsidP="00A20D64">
      <w:pPr>
        <w:rPr>
          <w:rFonts w:cstheme="minorHAnsi"/>
          <w:color w:val="0070C0"/>
          <w:sz w:val="24"/>
          <w:szCs w:val="24"/>
        </w:rPr>
      </w:pPr>
      <w:r w:rsidRPr="00A20D64">
        <w:rPr>
          <w:rFonts w:cstheme="minorHAnsi"/>
          <w:color w:val="0070C0"/>
          <w:sz w:val="24"/>
          <w:szCs w:val="24"/>
        </w:rPr>
        <w:t>0800 360 360 : numéro d'appui dans le cadre de la crise pour les personnes handicapées et les proches aidants</w:t>
      </w:r>
      <w:r w:rsidR="00D520C2">
        <w:rPr>
          <w:rFonts w:cstheme="minorHAnsi"/>
          <w:color w:val="0070C0"/>
          <w:sz w:val="24"/>
          <w:szCs w:val="24"/>
        </w:rPr>
        <w:t>.</w:t>
      </w:r>
    </w:p>
    <w:p w:rsidR="00A20D64" w:rsidRPr="00A20D64" w:rsidRDefault="00A20D64" w:rsidP="00A20D64">
      <w:pPr>
        <w:rPr>
          <w:rFonts w:cstheme="minorHAnsi"/>
          <w:color w:val="0070C0"/>
          <w:sz w:val="24"/>
          <w:szCs w:val="24"/>
        </w:rPr>
      </w:pPr>
      <w:r w:rsidRPr="00A20D64">
        <w:rPr>
          <w:rFonts w:cstheme="minorHAnsi"/>
          <w:color w:val="0070C0"/>
          <w:sz w:val="24"/>
          <w:szCs w:val="24"/>
        </w:rPr>
        <w:t>114 : numéro d'urgence pour les personnes sourdes et malentendantes</w:t>
      </w:r>
      <w:r w:rsidR="00D520C2">
        <w:rPr>
          <w:rFonts w:cstheme="minorHAnsi"/>
          <w:color w:val="0070C0"/>
          <w:sz w:val="24"/>
          <w:szCs w:val="24"/>
        </w:rPr>
        <w:t>.</w:t>
      </w:r>
    </w:p>
    <w:p w:rsidR="00A20D64" w:rsidRPr="00A20D64" w:rsidRDefault="00A20D64" w:rsidP="00A20D64">
      <w:pPr>
        <w:rPr>
          <w:rFonts w:cstheme="minorHAnsi"/>
          <w:color w:val="0070C0"/>
          <w:sz w:val="24"/>
          <w:szCs w:val="24"/>
        </w:rPr>
      </w:pPr>
      <w:r w:rsidRPr="00A20D64">
        <w:rPr>
          <w:rFonts w:cstheme="minorHAnsi"/>
          <w:color w:val="0070C0"/>
          <w:sz w:val="24"/>
          <w:szCs w:val="24"/>
        </w:rPr>
        <w:t>3977 : numéro pour les personnes vulnérables victimes de maltraitance</w:t>
      </w:r>
      <w:r w:rsidR="00D520C2">
        <w:rPr>
          <w:rFonts w:cstheme="minorHAnsi"/>
          <w:color w:val="0070C0"/>
          <w:sz w:val="24"/>
          <w:szCs w:val="24"/>
        </w:rPr>
        <w:t>s.</w:t>
      </w:r>
    </w:p>
    <w:p w:rsidR="00A20D64" w:rsidRPr="00A20D64" w:rsidRDefault="00A20D64" w:rsidP="00A20D64">
      <w:pPr>
        <w:jc w:val="center"/>
      </w:pPr>
    </w:p>
    <w:p w:rsidR="00A20D64" w:rsidRPr="00A20D64" w:rsidRDefault="00A20D64" w:rsidP="00A20D64"/>
    <w:p w:rsidR="00A20D64" w:rsidRPr="00A20D64" w:rsidRDefault="00A20D64" w:rsidP="00A20D64"/>
    <w:p w:rsidR="00BC1BA5" w:rsidRDefault="00BC1BA5"/>
    <w:sectPr w:rsidR="00BC1BA5" w:rsidSect="006430D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7DA" w:rsidRDefault="00C767DA" w:rsidP="00A20D64">
      <w:pPr>
        <w:spacing w:after="0" w:line="240" w:lineRule="auto"/>
      </w:pPr>
      <w:r>
        <w:separator/>
      </w:r>
    </w:p>
  </w:endnote>
  <w:endnote w:type="continuationSeparator" w:id="1">
    <w:p w:rsidR="00C767DA" w:rsidRDefault="00C767DA" w:rsidP="00A20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7DA" w:rsidRDefault="00C767DA" w:rsidP="00A20D64">
      <w:pPr>
        <w:spacing w:after="0" w:line="240" w:lineRule="auto"/>
      </w:pPr>
      <w:r>
        <w:separator/>
      </w:r>
    </w:p>
  </w:footnote>
  <w:footnote w:type="continuationSeparator" w:id="1">
    <w:p w:rsidR="00C767DA" w:rsidRDefault="00C767DA" w:rsidP="00A20D64">
      <w:pPr>
        <w:spacing w:after="0" w:line="240" w:lineRule="auto"/>
      </w:pPr>
      <w:r>
        <w:continuationSeparator/>
      </w:r>
    </w:p>
  </w:footnote>
  <w:footnote w:id="2">
    <w:p w:rsidR="00A20D64" w:rsidRDefault="00A20D64" w:rsidP="00A20D64">
      <w:pPr>
        <w:pStyle w:val="Notedebasdepage"/>
      </w:pPr>
      <w:r>
        <w:rPr>
          <w:rStyle w:val="Appelnotedebasdep"/>
        </w:rPr>
        <w:footnoteRef/>
      </w:r>
      <w:r>
        <w:t xml:space="preserve"> Département des affaires économiques et sociales des Nations Unies – Personnes Handicapées : </w:t>
      </w:r>
      <w:hyperlink r:id="rId1" w:history="1">
        <w:r w:rsidRPr="00747AAC">
          <w:rPr>
            <w:rStyle w:val="Lienhypertexte"/>
          </w:rPr>
          <w:t>https://www.un.org/development/desa/disabilities-fr/les-femmes-et-les-filles-handicapees.html</w:t>
        </w:r>
      </w:hyperlink>
    </w:p>
  </w:footnote>
  <w:footnote w:id="3">
    <w:p w:rsidR="00A20D64" w:rsidRDefault="00A20D64" w:rsidP="00A20D64">
      <w:pPr>
        <w:pStyle w:val="Notedebasdepage"/>
      </w:pPr>
      <w:r>
        <w:rPr>
          <w:rStyle w:val="Appelnotedebasdep"/>
        </w:rPr>
        <w:footnoteRef/>
      </w:r>
      <w:r w:rsidRPr="00F813D0">
        <w:rPr>
          <w:rFonts w:cstheme="minorHAnsi"/>
        </w:rPr>
        <w:t>Bilan</w:t>
      </w:r>
      <w:r>
        <w:rPr>
          <w:rFonts w:cstheme="minorHAnsi"/>
        </w:rPr>
        <w:t xml:space="preserve"> du HCE</w:t>
      </w:r>
      <w:r w:rsidRPr="00F813D0">
        <w:rPr>
          <w:rFonts w:cstheme="minorHAnsi"/>
        </w:rPr>
        <w:t xml:space="preserve"> du quatrième plan interministériel contre les violences faites aux femmes</w:t>
      </w:r>
      <w:r>
        <w:rPr>
          <w:rFonts w:cstheme="minorHAnsi"/>
        </w:rPr>
        <w:t> :</w:t>
      </w:r>
      <w:r w:rsidRPr="00A23AF7">
        <w:rPr>
          <w:rFonts w:cstheme="minorHAnsi"/>
        </w:rPr>
        <w:t>« difficilement surmontables pour les femmes valides, les obstacles propres aux parcours des victimes de violences peuvent être infranchissables pour les femmes handicapées. »</w:t>
      </w:r>
    </w:p>
  </w:footnote>
  <w:footnote w:id="4">
    <w:p w:rsidR="00C63D4F" w:rsidRDefault="00C63D4F">
      <w:pPr>
        <w:pStyle w:val="Notedebasdepage"/>
      </w:pPr>
      <w:r>
        <w:rPr>
          <w:rStyle w:val="Appelnotedebasdep"/>
        </w:rPr>
        <w:footnoteRef/>
      </w:r>
      <w:r>
        <w:t xml:space="preserve"> Elles sont </w:t>
      </w:r>
      <w:r w:rsidRPr="00C63D4F">
        <w:t>surreprésentées à 54% par rapport aux hommes</w:t>
      </w:r>
      <w:r>
        <w:t xml:space="preserve"> handicapés.</w:t>
      </w:r>
    </w:p>
  </w:footnote>
  <w:footnote w:id="5">
    <w:p w:rsidR="00A20D64" w:rsidRDefault="00A20D64" w:rsidP="00A20D64">
      <w:pPr>
        <w:pStyle w:val="Notedebasdepage"/>
      </w:pPr>
      <w:r>
        <w:rPr>
          <w:rStyle w:val="Appelnotedebasdep"/>
        </w:rPr>
        <w:footnoteRef/>
      </w:r>
      <w:r>
        <w:t xml:space="preserve"> ARS avril 2017 : 1 080 femmes ont répondu au questionnaire de cette étude (via CPAM 75- 77- 92-93).</w:t>
      </w:r>
    </w:p>
  </w:footnote>
  <w:footnote w:id="6">
    <w:p w:rsidR="00A20D64" w:rsidRDefault="00A20D64" w:rsidP="00A20D64">
      <w:pPr>
        <w:pStyle w:val="Notedebasdepage"/>
      </w:pPr>
      <w:r>
        <w:rPr>
          <w:rStyle w:val="Appelnotedebasdep"/>
        </w:rPr>
        <w:footnoteRef/>
      </w:r>
      <w:r>
        <w:t xml:space="preserve"> « </w:t>
      </w:r>
      <w:r w:rsidRPr="00A23AF7">
        <w:rPr>
          <w:i/>
          <w:iCs/>
        </w:rPr>
        <w:t>Le livre noir de la gynécologie</w:t>
      </w:r>
      <w:r>
        <w:t> »</w:t>
      </w:r>
      <w:r w:rsidRPr="00A23AF7">
        <w:t xml:space="preserve"> de Mélanie DÉCHALOTTE</w:t>
      </w:r>
      <w:r>
        <w:t>, Pocket. Paris. 2019.</w:t>
      </w:r>
    </w:p>
  </w:footnote>
  <w:footnote w:id="7">
    <w:p w:rsidR="00C16A3A" w:rsidRDefault="00C16A3A">
      <w:pPr>
        <w:pStyle w:val="Notedebasdepage"/>
      </w:pPr>
      <w:r>
        <w:rPr>
          <w:rStyle w:val="Appelnotedebasdep"/>
        </w:rPr>
        <w:footnoteRef/>
      </w:r>
      <w:r>
        <w:t xml:space="preserve"> 150.000 Femmes s’expriment en LSF.</w:t>
      </w:r>
    </w:p>
  </w:footnote>
  <w:footnote w:id="8">
    <w:p w:rsidR="001C6018" w:rsidRDefault="001C6018">
      <w:pPr>
        <w:pStyle w:val="Notedebasdepage"/>
      </w:pPr>
      <w:r>
        <w:rPr>
          <w:rStyle w:val="Appelnotedebasdep"/>
        </w:rPr>
        <w:footnoteRef/>
      </w:r>
      <w:r>
        <w:t xml:space="preserve"> Selon l</w:t>
      </w:r>
      <w:r w:rsidRPr="001C6018">
        <w:t>a Rapporteuse spéciale sur les droits des personnes handicapées</w:t>
      </w:r>
      <w:r>
        <w:t xml:space="preserve"> à l’Assemblée Nationale.</w:t>
      </w:r>
    </w:p>
  </w:footnote>
  <w:footnote w:id="9">
    <w:p w:rsidR="00A20D64" w:rsidRDefault="00A20D64" w:rsidP="00A20D64">
      <w:pPr>
        <w:pStyle w:val="Notedebasdepage"/>
      </w:pPr>
      <w:r>
        <w:rPr>
          <w:rStyle w:val="Appelnotedebasdep"/>
        </w:rPr>
        <w:footnoteRef/>
      </w:r>
      <w:r w:rsidRPr="008F5993">
        <w:t>« Dans chaque région un service adossé à une PMI ou à une maternité, dans le droit commun, mais avec des équipes spécialisées », décrit Sophie CLUZEL. Actuellement, il y en a 3, dans trois régions ARS.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0"/>
    <w:footnote w:id="1"/>
  </w:footnotePr>
  <w:endnotePr>
    <w:endnote w:id="0"/>
    <w:endnote w:id="1"/>
  </w:endnotePr>
  <w:compat/>
  <w:rsids>
    <w:rsidRoot w:val="00A20D64"/>
    <w:rsid w:val="0003716B"/>
    <w:rsid w:val="00060B97"/>
    <w:rsid w:val="00123BC1"/>
    <w:rsid w:val="001C6018"/>
    <w:rsid w:val="001E2ED3"/>
    <w:rsid w:val="002400E0"/>
    <w:rsid w:val="0037598F"/>
    <w:rsid w:val="00566570"/>
    <w:rsid w:val="006430DA"/>
    <w:rsid w:val="00796243"/>
    <w:rsid w:val="007F213D"/>
    <w:rsid w:val="009B0E6B"/>
    <w:rsid w:val="00A13EE1"/>
    <w:rsid w:val="00A20D64"/>
    <w:rsid w:val="00AA6BA7"/>
    <w:rsid w:val="00AC7A31"/>
    <w:rsid w:val="00BA129D"/>
    <w:rsid w:val="00BC1BA5"/>
    <w:rsid w:val="00BD5A39"/>
    <w:rsid w:val="00C16A3A"/>
    <w:rsid w:val="00C330BC"/>
    <w:rsid w:val="00C5317C"/>
    <w:rsid w:val="00C63D4F"/>
    <w:rsid w:val="00C767DA"/>
    <w:rsid w:val="00D520C2"/>
    <w:rsid w:val="00F40DE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31"/>
  </w:style>
  <w:style w:type="paragraph" w:styleId="Titre1">
    <w:name w:val="heading 1"/>
    <w:basedOn w:val="Normal"/>
    <w:next w:val="Normal"/>
    <w:link w:val="Titre1Car"/>
    <w:uiPriority w:val="9"/>
    <w:qFormat/>
    <w:rsid w:val="00AC7A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7A31"/>
    <w:rPr>
      <w:rFonts w:asciiTheme="majorHAnsi" w:eastAsiaTheme="majorEastAsia" w:hAnsiTheme="majorHAnsi" w:cstheme="majorBidi"/>
      <w:color w:val="2F5496" w:themeColor="accent1" w:themeShade="BF"/>
      <w:sz w:val="32"/>
      <w:szCs w:val="32"/>
    </w:rPr>
  </w:style>
  <w:style w:type="character" w:styleId="Accentuation">
    <w:name w:val="Emphasis"/>
    <w:basedOn w:val="Policepardfaut"/>
    <w:uiPriority w:val="20"/>
    <w:qFormat/>
    <w:rsid w:val="00AC7A31"/>
    <w:rPr>
      <w:i/>
      <w:iCs/>
    </w:rPr>
  </w:style>
  <w:style w:type="paragraph" w:styleId="Sansinterligne">
    <w:name w:val="No Spacing"/>
    <w:uiPriority w:val="1"/>
    <w:qFormat/>
    <w:rsid w:val="00AC7A31"/>
    <w:pPr>
      <w:spacing w:after="0" w:line="240" w:lineRule="auto"/>
    </w:pPr>
  </w:style>
  <w:style w:type="paragraph" w:styleId="Notedebasdepage">
    <w:name w:val="footnote text"/>
    <w:basedOn w:val="Normal"/>
    <w:link w:val="NotedebasdepageCar"/>
    <w:uiPriority w:val="99"/>
    <w:semiHidden/>
    <w:unhideWhenUsed/>
    <w:rsid w:val="00A20D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0D64"/>
    <w:rPr>
      <w:sz w:val="20"/>
      <w:szCs w:val="20"/>
    </w:rPr>
  </w:style>
  <w:style w:type="character" w:styleId="Appelnotedebasdep">
    <w:name w:val="footnote reference"/>
    <w:basedOn w:val="Policepardfaut"/>
    <w:uiPriority w:val="99"/>
    <w:semiHidden/>
    <w:unhideWhenUsed/>
    <w:rsid w:val="00A20D64"/>
    <w:rPr>
      <w:vertAlign w:val="superscript"/>
    </w:rPr>
  </w:style>
  <w:style w:type="character" w:styleId="Lienhypertexte">
    <w:name w:val="Hyperlink"/>
    <w:basedOn w:val="Policepardfaut"/>
    <w:uiPriority w:val="99"/>
    <w:unhideWhenUsed/>
    <w:rsid w:val="00A20D6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fr/les-femmes-et-les-filles-handicape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800C-96F2-4209-88E1-904EF0FF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5606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Manceron</dc:creator>
  <cp:lastModifiedBy>Desaint</cp:lastModifiedBy>
  <cp:revision>2</cp:revision>
  <dcterms:created xsi:type="dcterms:W3CDTF">2022-03-21T10:25:00Z</dcterms:created>
  <dcterms:modified xsi:type="dcterms:W3CDTF">2022-03-21T10:25:00Z</dcterms:modified>
</cp:coreProperties>
</file>