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6B5" w:rsidRDefault="001F6D4B">
      <w:pPr>
        <w:pStyle w:val="Titre1"/>
        <w:jc w:val="center"/>
        <w:rPr>
          <w:b/>
          <w:i/>
          <w:color w:val="ED7D31" w:themeColor="accent2"/>
          <w:sz w:val="36"/>
          <w:szCs w:val="36"/>
        </w:rPr>
      </w:pPr>
      <w:r w:rsidRPr="00883E0C">
        <w:rPr>
          <w:b/>
          <w:i/>
          <w:color w:val="ED7D31" w:themeColor="accent2"/>
          <w:sz w:val="38"/>
          <w:szCs w:val="38"/>
        </w:rPr>
        <w:t>Agir pour éliminer la violence sexiste à l'égard des femmes et des filles handicapées</w:t>
      </w:r>
      <w:r w:rsidR="005B04D5" w:rsidRPr="00883E0C">
        <w:rPr>
          <w:b/>
          <w:i/>
          <w:color w:val="ED7D31" w:themeColor="accent2"/>
          <w:sz w:val="38"/>
          <w:szCs w:val="38"/>
        </w:rPr>
        <w:t xml:space="preserve">, NOW </w:t>
      </w:r>
      <w:r w:rsidR="00FB40D3" w:rsidRPr="00883E0C">
        <w:rPr>
          <w:rStyle w:val="Appelnotedebasdep"/>
          <w:b/>
          <w:i/>
          <w:color w:val="ED7D31" w:themeColor="accent2"/>
          <w:sz w:val="36"/>
          <w:szCs w:val="36"/>
        </w:rPr>
        <w:footnoteReference w:id="2"/>
      </w:r>
    </w:p>
    <w:p w:rsidR="008A0E2E" w:rsidRPr="00883E0C" w:rsidRDefault="008A0E2E" w:rsidP="00602BB2">
      <w:pPr>
        <w:jc w:val="both"/>
        <w:rPr>
          <w:rFonts w:asciiTheme="minorHAnsi" w:hAnsiTheme="minorHAnsi" w:cstheme="minorHAnsi"/>
        </w:rPr>
      </w:pPr>
    </w:p>
    <w:p w:rsidR="00D766B5" w:rsidRDefault="001F6D4B">
      <w:pPr>
        <w:pStyle w:val="Paragraphedeliste"/>
        <w:jc w:val="center"/>
        <w:rPr>
          <w:rFonts w:asciiTheme="minorHAnsi" w:hAnsiTheme="minorHAnsi" w:cstheme="minorHAnsi"/>
          <w:i/>
        </w:rPr>
      </w:pPr>
      <w:r w:rsidRPr="00883E0C">
        <w:rPr>
          <w:rFonts w:asciiTheme="minorHAnsi" w:hAnsiTheme="minorHAnsi" w:cstheme="minorHAnsi"/>
          <w:i/>
        </w:rPr>
        <w:t xml:space="preserve">Le </w:t>
      </w:r>
      <w:hyperlink r:id="rId11" w:history="1">
        <w:r w:rsidR="00CB0FB3" w:rsidRPr="00883E0C">
          <w:rPr>
            <w:rStyle w:val="Lienhypertexte"/>
            <w:rFonts w:asciiTheme="minorHAnsi" w:hAnsiTheme="minorHAnsi" w:cstheme="minorHAnsi"/>
            <w:i/>
          </w:rPr>
          <w:t>Comité des droits des personnes handicapées</w:t>
        </w:r>
      </w:hyperlink>
      <w:r w:rsidR="00EA09EE" w:rsidRPr="00883E0C">
        <w:rPr>
          <w:rStyle w:val="Lienhypertexte"/>
          <w:rFonts w:asciiTheme="minorHAnsi" w:hAnsiTheme="minorHAnsi" w:cstheme="minorHAnsi"/>
          <w:i/>
        </w:rPr>
        <w:t xml:space="preserve">, le </w:t>
      </w:r>
      <w:hyperlink r:id="rId12" w:history="1">
        <w:r w:rsidR="00EA09EE" w:rsidRPr="00883E0C">
          <w:rPr>
            <w:rStyle w:val="Lienhypertexte"/>
            <w:rFonts w:asciiTheme="minorHAnsi" w:hAnsiTheme="minorHAnsi" w:cstheme="minorHAnsi"/>
            <w:i/>
          </w:rPr>
          <w:t>Comité pour l'élimination de la discrimination à l'égard des femmes</w:t>
        </w:r>
      </w:hyperlink>
      <w:r w:rsidR="006A1F77" w:rsidRPr="00883E0C">
        <w:rPr>
          <w:rStyle w:val="Lienhypertexte"/>
          <w:rFonts w:asciiTheme="minorHAnsi" w:hAnsiTheme="minorHAnsi" w:cstheme="minorHAnsi"/>
          <w:i/>
        </w:rPr>
        <w:t xml:space="preserve">, le </w:t>
      </w:r>
      <w:hyperlink r:id="rId13" w:history="1">
        <w:r w:rsidR="006A1F77" w:rsidRPr="00BC0EE9">
          <w:rPr>
            <w:rStyle w:val="Lienhypertexte"/>
            <w:rFonts w:asciiTheme="minorHAnsi" w:hAnsiTheme="minorHAnsi" w:cstheme="minorHAnsi"/>
            <w:i/>
          </w:rPr>
          <w:t xml:space="preserve">Comité des droits de l'enfant </w:t>
        </w:r>
      </w:hyperlink>
      <w:r w:rsidR="00A940C0" w:rsidRPr="00883E0C">
        <w:rPr>
          <w:rStyle w:val="Lienhypertexte"/>
          <w:rFonts w:asciiTheme="minorHAnsi" w:hAnsiTheme="minorHAnsi" w:cstheme="minorHAnsi"/>
          <w:i/>
        </w:rPr>
        <w:t xml:space="preserve">et le </w:t>
      </w:r>
      <w:hyperlink r:id="rId14" w:history="1">
        <w:r w:rsidR="00A940C0" w:rsidRPr="00883E0C">
          <w:rPr>
            <w:rStyle w:val="Lienhypertexte"/>
            <w:rFonts w:asciiTheme="minorHAnsi" w:hAnsiTheme="minorHAnsi" w:cstheme="minorHAnsi"/>
            <w:i/>
          </w:rPr>
          <w:t xml:space="preserve">Rapporteur spécial sur les droits des personnes handicapées </w:t>
        </w:r>
      </w:hyperlink>
      <w:r w:rsidR="006A0E10" w:rsidRPr="00883E0C">
        <w:rPr>
          <w:rFonts w:asciiTheme="minorHAnsi" w:hAnsiTheme="minorHAnsi" w:cstheme="minorHAnsi"/>
          <w:i/>
        </w:rPr>
        <w:t xml:space="preserve">s'associent à la commémoration de la </w:t>
      </w:r>
      <w:r w:rsidRPr="00883E0C">
        <w:rPr>
          <w:rFonts w:asciiTheme="minorHAnsi" w:hAnsiTheme="minorHAnsi" w:cstheme="minorHAnsi"/>
          <w:b/>
          <w:i/>
        </w:rPr>
        <w:t>Journée</w:t>
      </w:r>
      <w:r w:rsidR="00CB0FB3" w:rsidRPr="00883E0C">
        <w:rPr>
          <w:rFonts w:asciiTheme="minorHAnsi" w:hAnsiTheme="minorHAnsi" w:cstheme="minorHAnsi"/>
          <w:b/>
          <w:i/>
        </w:rPr>
        <w:t xml:space="preserve"> internationale </w:t>
      </w:r>
      <w:r w:rsidRPr="00883E0C">
        <w:rPr>
          <w:rFonts w:asciiTheme="minorHAnsi" w:hAnsiTheme="minorHAnsi" w:cstheme="minorHAnsi"/>
          <w:b/>
          <w:i/>
        </w:rPr>
        <w:t xml:space="preserve">pour l'élimination de la </w:t>
      </w:r>
      <w:r w:rsidR="00CB0FB3" w:rsidRPr="00883E0C">
        <w:rPr>
          <w:rFonts w:asciiTheme="minorHAnsi" w:hAnsiTheme="minorHAnsi" w:cstheme="minorHAnsi"/>
          <w:b/>
          <w:i/>
        </w:rPr>
        <w:t xml:space="preserve">violence à l'égard des </w:t>
      </w:r>
      <w:r w:rsidRPr="00883E0C">
        <w:rPr>
          <w:rFonts w:asciiTheme="minorHAnsi" w:hAnsiTheme="minorHAnsi" w:cstheme="minorHAnsi"/>
          <w:b/>
          <w:i/>
        </w:rPr>
        <w:t xml:space="preserve">femmes </w:t>
      </w:r>
      <w:r w:rsidR="006A0E10" w:rsidRPr="00883E0C">
        <w:rPr>
          <w:rFonts w:asciiTheme="minorHAnsi" w:hAnsiTheme="minorHAnsi" w:cstheme="minorHAnsi"/>
          <w:i/>
        </w:rPr>
        <w:t xml:space="preserve">et des </w:t>
      </w:r>
      <w:hyperlink r:id="rId15" w:history="1">
        <w:r w:rsidR="006A0E10" w:rsidRPr="00883E0C">
          <w:rPr>
            <w:rStyle w:val="Lienhypertexte"/>
            <w:rFonts w:asciiTheme="minorHAnsi" w:hAnsiTheme="minorHAnsi" w:cstheme="minorHAnsi"/>
            <w:i/>
          </w:rPr>
          <w:t>16 jours d'activisme contre la violence sexiste</w:t>
        </w:r>
      </w:hyperlink>
      <w:r w:rsidR="006A0E10" w:rsidRPr="00883E0C">
        <w:rPr>
          <w:rFonts w:asciiTheme="minorHAnsi" w:hAnsiTheme="minorHAnsi" w:cstheme="minorHAnsi"/>
          <w:i/>
        </w:rPr>
        <w:t xml:space="preserve">, qui </w:t>
      </w:r>
      <w:r w:rsidR="005C3B43" w:rsidRPr="00883E0C">
        <w:rPr>
          <w:rFonts w:asciiTheme="minorHAnsi" w:hAnsiTheme="minorHAnsi" w:cstheme="minorHAnsi"/>
          <w:i/>
        </w:rPr>
        <w:t xml:space="preserve">sont </w:t>
      </w:r>
      <w:r w:rsidR="007C6C3D" w:rsidRPr="00883E0C">
        <w:rPr>
          <w:rFonts w:asciiTheme="minorHAnsi" w:hAnsiTheme="minorHAnsi" w:cstheme="minorHAnsi"/>
          <w:i/>
        </w:rPr>
        <w:t>l'</w:t>
      </w:r>
      <w:r w:rsidRPr="00883E0C">
        <w:rPr>
          <w:rFonts w:asciiTheme="minorHAnsi" w:hAnsiTheme="minorHAnsi" w:cstheme="minorHAnsi"/>
          <w:i/>
        </w:rPr>
        <w:t>occasion de se pencher sur les formes spécifiques et uniques de violence sexiste à l'égard des femmes et des filles handicapées</w:t>
      </w:r>
      <w:r w:rsidR="006A0E10" w:rsidRPr="00883E0C">
        <w:rPr>
          <w:rFonts w:asciiTheme="minorHAnsi" w:hAnsiTheme="minorHAnsi" w:cstheme="minorHAnsi"/>
          <w:i/>
        </w:rPr>
        <w:t xml:space="preserve">. Les </w:t>
      </w:r>
      <w:r w:rsidR="00EA09EE" w:rsidRPr="00883E0C">
        <w:rPr>
          <w:rFonts w:asciiTheme="minorHAnsi" w:hAnsiTheme="minorHAnsi" w:cstheme="minorHAnsi"/>
          <w:i/>
        </w:rPr>
        <w:t xml:space="preserve">experts internationaux </w:t>
      </w:r>
      <w:r w:rsidR="00CB0FB3" w:rsidRPr="00883E0C">
        <w:rPr>
          <w:rFonts w:asciiTheme="minorHAnsi" w:hAnsiTheme="minorHAnsi" w:cstheme="minorHAnsi"/>
          <w:i/>
        </w:rPr>
        <w:t xml:space="preserve">appellent les </w:t>
      </w:r>
      <w:hyperlink r:id="rId16" w:history="1">
        <w:r w:rsidR="00EA09EE" w:rsidRPr="00883E0C">
          <w:rPr>
            <w:rStyle w:val="Lienhypertexte"/>
            <w:rFonts w:asciiTheme="minorHAnsi" w:hAnsiTheme="minorHAnsi" w:cstheme="minorHAnsi"/>
            <w:i/>
          </w:rPr>
          <w:t>États parties auxconventionsCEDAW</w:t>
        </w:r>
        <w:r w:rsidR="00BC0EE9">
          <w:rPr>
            <w:rStyle w:val="Lienhypertexte"/>
            <w:rFonts w:asciiTheme="minorHAnsi" w:hAnsiTheme="minorHAnsi" w:cstheme="minorHAnsi"/>
            <w:i/>
          </w:rPr>
          <w:t>, CRC</w:t>
        </w:r>
        <w:r w:rsidR="00EA09EE" w:rsidRPr="00883E0C">
          <w:rPr>
            <w:rStyle w:val="Lienhypertexte"/>
            <w:rFonts w:asciiTheme="minorHAnsi" w:hAnsiTheme="minorHAnsi" w:cstheme="minorHAnsi"/>
            <w:i/>
          </w:rPr>
          <w:t xml:space="preserve">et CDPH </w:t>
        </w:r>
      </w:hyperlink>
      <w:r w:rsidR="00CB0FB3" w:rsidRPr="00883E0C">
        <w:rPr>
          <w:rFonts w:asciiTheme="minorHAnsi" w:hAnsiTheme="minorHAnsi" w:cstheme="minorHAnsi"/>
          <w:i/>
        </w:rPr>
        <w:t xml:space="preserve">et toutes les parties prenantes à </w:t>
      </w:r>
      <w:r w:rsidRPr="00883E0C">
        <w:rPr>
          <w:rFonts w:asciiTheme="minorHAnsi" w:hAnsiTheme="minorHAnsi" w:cstheme="minorHAnsi"/>
          <w:i/>
        </w:rPr>
        <w:t>prendre des mesures décisives pour prévenir et éliminer ces formes de violence</w:t>
      </w:r>
      <w:r w:rsidR="00CB0FB3" w:rsidRPr="00883E0C">
        <w:rPr>
          <w:rFonts w:asciiTheme="minorHAnsi" w:hAnsiTheme="minorHAnsi" w:cstheme="minorHAnsi"/>
          <w:i/>
        </w:rPr>
        <w:t xml:space="preserve">, </w:t>
      </w:r>
      <w:r w:rsidRPr="00883E0C">
        <w:rPr>
          <w:rFonts w:asciiTheme="minorHAnsi" w:hAnsiTheme="minorHAnsi" w:cstheme="minorHAnsi"/>
          <w:i/>
        </w:rPr>
        <w:t xml:space="preserve">et à veiller à ce que les femmes et les filles handicapées </w:t>
      </w:r>
      <w:r w:rsidR="00D57096" w:rsidRPr="00883E0C">
        <w:rPr>
          <w:rFonts w:asciiTheme="minorHAnsi" w:hAnsiTheme="minorHAnsi" w:cstheme="minorHAnsi"/>
          <w:i/>
        </w:rPr>
        <w:t xml:space="preserve">et les </w:t>
      </w:r>
      <w:r w:rsidR="006A0E10" w:rsidRPr="00883E0C">
        <w:rPr>
          <w:rFonts w:asciiTheme="minorHAnsi" w:hAnsiTheme="minorHAnsi" w:cstheme="minorHAnsi"/>
          <w:i/>
        </w:rPr>
        <w:t xml:space="preserve">organisations qui les représentent </w:t>
      </w:r>
      <w:r w:rsidRPr="00883E0C">
        <w:rPr>
          <w:rFonts w:asciiTheme="minorHAnsi" w:hAnsiTheme="minorHAnsi" w:cstheme="minorHAnsi"/>
          <w:i/>
        </w:rPr>
        <w:t xml:space="preserve">soient </w:t>
      </w:r>
      <w:r w:rsidR="00CB0FB3" w:rsidRPr="00883E0C">
        <w:rPr>
          <w:rFonts w:asciiTheme="minorHAnsi" w:hAnsiTheme="minorHAnsi" w:cstheme="minorHAnsi"/>
          <w:i/>
        </w:rPr>
        <w:t xml:space="preserve">impliquées dans les politiques visant à éliminer la violence sexiste </w:t>
      </w:r>
      <w:r w:rsidR="00EA09EE" w:rsidRPr="00883E0C">
        <w:rPr>
          <w:rFonts w:asciiTheme="minorHAnsi" w:hAnsiTheme="minorHAnsi" w:cstheme="minorHAnsi"/>
          <w:i/>
        </w:rPr>
        <w:t>à l'égard des femmes</w:t>
      </w:r>
      <w:r w:rsidR="00CB0FB3" w:rsidRPr="00883E0C">
        <w:rPr>
          <w:rFonts w:asciiTheme="minorHAnsi" w:hAnsiTheme="minorHAnsi" w:cstheme="minorHAnsi"/>
          <w:i/>
        </w:rPr>
        <w:t>.</w:t>
      </w:r>
    </w:p>
    <w:p w:rsidR="00540EDD" w:rsidRPr="00883E0C" w:rsidRDefault="00540EDD" w:rsidP="00966528">
      <w:pPr>
        <w:jc w:val="both"/>
        <w:rPr>
          <w:rFonts w:asciiTheme="minorHAnsi" w:hAnsiTheme="minorHAnsi" w:cstheme="minorHAnsi"/>
        </w:rPr>
      </w:pPr>
    </w:p>
    <w:p w:rsidR="00D766B5" w:rsidRDefault="001F6D4B">
      <w:pPr>
        <w:pStyle w:val="Paragraphedeliste"/>
        <w:jc w:val="center"/>
        <w:rPr>
          <w:rFonts w:asciiTheme="minorHAnsi" w:hAnsiTheme="minorHAnsi" w:cstheme="minorHAnsi"/>
          <w:i/>
        </w:rPr>
      </w:pPr>
      <w:r w:rsidRPr="00883E0C">
        <w:rPr>
          <w:rFonts w:asciiTheme="minorHAnsi" w:hAnsiTheme="minorHAnsi" w:cstheme="minorHAnsi"/>
          <w:i/>
        </w:rPr>
        <w:t xml:space="preserve">Les femmes et les filles handicapées sont des membres actifs de leurs communautés et ont largement contribué à faire évoluer la façon dont la société perçoit les personnes handicapées. Pourtant, quinze ans après l'adoption de la </w:t>
      </w:r>
      <w:hyperlink r:id="rId17" w:history="1">
        <w:r w:rsidR="006A1F77" w:rsidRPr="00883E0C">
          <w:rPr>
            <w:rStyle w:val="Lienhypertexte"/>
            <w:rFonts w:asciiTheme="minorHAnsi" w:hAnsiTheme="minorHAnsi" w:cstheme="minorHAnsi"/>
            <w:i/>
          </w:rPr>
          <w:t>Convention relative aux droits des personnes handicapées</w:t>
        </w:r>
      </w:hyperlink>
      <w:r w:rsidRPr="00883E0C">
        <w:rPr>
          <w:rFonts w:asciiTheme="minorHAnsi" w:hAnsiTheme="minorHAnsi" w:cstheme="minorHAnsi"/>
          <w:i/>
        </w:rPr>
        <w:t>, elles continuent de se heurter à des obstacles systémiques et structurels à la participation à la</w:t>
      </w:r>
      <w:r w:rsidRPr="00883E0C">
        <w:rPr>
          <w:rFonts w:asciiTheme="minorHAnsi" w:hAnsiTheme="minorHAnsi" w:cstheme="minorHAnsi"/>
          <w:i/>
        </w:rPr>
        <w:t xml:space="preserve"> société et </w:t>
      </w:r>
      <w:r w:rsidR="005C3B43" w:rsidRPr="00883E0C">
        <w:rPr>
          <w:rFonts w:asciiTheme="minorHAnsi" w:hAnsiTheme="minorHAnsi" w:cstheme="minorHAnsi"/>
          <w:i/>
        </w:rPr>
        <w:t xml:space="preserve">sont représentées de manière disproportionnée </w:t>
      </w:r>
      <w:r w:rsidRPr="00883E0C">
        <w:rPr>
          <w:rFonts w:asciiTheme="minorHAnsi" w:hAnsiTheme="minorHAnsi" w:cstheme="minorHAnsi"/>
          <w:i/>
        </w:rPr>
        <w:t xml:space="preserve">dans les </w:t>
      </w:r>
      <w:r w:rsidR="005C3B43" w:rsidRPr="00883E0C">
        <w:rPr>
          <w:rFonts w:asciiTheme="minorHAnsi" w:hAnsiTheme="minorHAnsi" w:cstheme="minorHAnsi"/>
          <w:i/>
        </w:rPr>
        <w:t xml:space="preserve">situations de </w:t>
      </w:r>
      <w:r w:rsidRPr="00883E0C">
        <w:rPr>
          <w:rFonts w:asciiTheme="minorHAnsi" w:hAnsiTheme="minorHAnsi" w:cstheme="minorHAnsi"/>
          <w:i/>
        </w:rPr>
        <w:t>pauvreté, conséquence de formes multiples et croisées de discrimination dans toutes les sphères de la vie.</w:t>
      </w:r>
    </w:p>
    <w:p w:rsidR="00C65A41" w:rsidRPr="00883E0C" w:rsidRDefault="00C65A41" w:rsidP="00966528">
      <w:pPr>
        <w:jc w:val="both"/>
        <w:rPr>
          <w:rFonts w:asciiTheme="minorHAnsi" w:hAnsiTheme="minorHAnsi" w:cstheme="minorHAnsi"/>
        </w:rPr>
      </w:pPr>
    </w:p>
    <w:p w:rsidR="00D766B5" w:rsidRDefault="00C65A41">
      <w:pPr>
        <w:pStyle w:val="Paragraphedeliste"/>
        <w:jc w:val="center"/>
        <w:rPr>
          <w:rFonts w:asciiTheme="minorHAnsi" w:hAnsiTheme="minorHAnsi" w:cstheme="minorHAnsi"/>
          <w:i/>
        </w:rPr>
      </w:pPr>
      <w:r w:rsidRPr="00883E0C">
        <w:rPr>
          <w:rFonts w:asciiTheme="minorHAnsi" w:hAnsiTheme="minorHAnsi" w:cstheme="minorHAnsi"/>
          <w:i/>
        </w:rPr>
        <w:t xml:space="preserve">Les </w:t>
      </w:r>
      <w:r w:rsidR="001F6D4B" w:rsidRPr="00883E0C">
        <w:rPr>
          <w:rFonts w:asciiTheme="minorHAnsi" w:hAnsiTheme="minorHAnsi" w:cstheme="minorHAnsi"/>
          <w:i/>
        </w:rPr>
        <w:t xml:space="preserve">experts internationaux </w:t>
      </w:r>
      <w:r w:rsidRPr="00883E0C">
        <w:rPr>
          <w:rFonts w:asciiTheme="minorHAnsi" w:hAnsiTheme="minorHAnsi" w:cstheme="minorHAnsi"/>
          <w:i/>
        </w:rPr>
        <w:t xml:space="preserve">réaffirment </w:t>
      </w:r>
      <w:r w:rsidR="008B5116" w:rsidRPr="00883E0C">
        <w:rPr>
          <w:rFonts w:asciiTheme="minorHAnsi" w:hAnsiTheme="minorHAnsi" w:cstheme="minorHAnsi"/>
          <w:i/>
        </w:rPr>
        <w:t xml:space="preserve">que les </w:t>
      </w:r>
      <w:r w:rsidRPr="00883E0C">
        <w:rPr>
          <w:rFonts w:asciiTheme="minorHAnsi" w:hAnsiTheme="minorHAnsi" w:cstheme="minorHAnsi"/>
          <w:i/>
        </w:rPr>
        <w:t xml:space="preserve">femmes et les filles handicapées </w:t>
      </w:r>
      <w:r w:rsidR="006A0E10" w:rsidRPr="00883E0C">
        <w:rPr>
          <w:rFonts w:asciiTheme="minorHAnsi" w:hAnsiTheme="minorHAnsi" w:cstheme="minorHAnsi"/>
          <w:i/>
        </w:rPr>
        <w:t xml:space="preserve">du monde entier </w:t>
      </w:r>
      <w:r w:rsidR="00F21F97" w:rsidRPr="00883E0C">
        <w:rPr>
          <w:rFonts w:asciiTheme="minorHAnsi" w:hAnsiTheme="minorHAnsi" w:cstheme="minorHAnsi"/>
          <w:i/>
        </w:rPr>
        <w:t xml:space="preserve">doivent </w:t>
      </w:r>
      <w:r w:rsidRPr="00883E0C">
        <w:rPr>
          <w:rFonts w:asciiTheme="minorHAnsi" w:hAnsiTheme="minorHAnsi" w:cstheme="minorHAnsi"/>
          <w:i/>
        </w:rPr>
        <w:t xml:space="preserve">être incluses dans la </w:t>
      </w:r>
      <w:r w:rsidR="00B057FF" w:rsidRPr="00883E0C">
        <w:rPr>
          <w:rFonts w:asciiTheme="minorHAnsi" w:hAnsiTheme="minorHAnsi" w:cstheme="minorHAnsi"/>
          <w:i/>
        </w:rPr>
        <w:t xml:space="preserve">lutte pour faire progresser l'égalité des sexes et les </w:t>
      </w:r>
      <w:r w:rsidRPr="00883E0C">
        <w:rPr>
          <w:rFonts w:asciiTheme="minorHAnsi" w:hAnsiTheme="minorHAnsi" w:cstheme="minorHAnsi"/>
          <w:i/>
        </w:rPr>
        <w:t xml:space="preserve">droits des femmes. </w:t>
      </w:r>
      <w:r w:rsidR="004001D5" w:rsidRPr="00883E0C">
        <w:rPr>
          <w:rFonts w:asciiTheme="minorHAnsi" w:hAnsiTheme="minorHAnsi" w:cstheme="minorHAnsi"/>
          <w:i/>
        </w:rPr>
        <w:t xml:space="preserve">Elles ont droit à tous les droits de l'homme et à toutes les libertés fondamentales sur la base de l'égalité avec les autres et </w:t>
      </w:r>
      <w:r w:rsidR="006A0E10" w:rsidRPr="00883E0C">
        <w:rPr>
          <w:rFonts w:asciiTheme="minorHAnsi" w:hAnsiTheme="minorHAnsi" w:cstheme="minorHAnsi"/>
          <w:i/>
        </w:rPr>
        <w:t xml:space="preserve">devraient </w:t>
      </w:r>
      <w:r w:rsidR="005C3B43" w:rsidRPr="00883E0C">
        <w:rPr>
          <w:rFonts w:asciiTheme="minorHAnsi" w:hAnsiTheme="minorHAnsi" w:cstheme="minorHAnsi"/>
          <w:i/>
        </w:rPr>
        <w:t xml:space="preserve">participer activement </w:t>
      </w:r>
      <w:r w:rsidRPr="00883E0C">
        <w:rPr>
          <w:rFonts w:asciiTheme="minorHAnsi" w:hAnsiTheme="minorHAnsi" w:cstheme="minorHAnsi"/>
          <w:i/>
        </w:rPr>
        <w:t xml:space="preserve">à toutes les campagnes de </w:t>
      </w:r>
      <w:r w:rsidR="005C3B43" w:rsidRPr="00883E0C">
        <w:rPr>
          <w:rFonts w:asciiTheme="minorHAnsi" w:hAnsiTheme="minorHAnsi" w:cstheme="minorHAnsi"/>
          <w:i/>
        </w:rPr>
        <w:t xml:space="preserve">lutte pour les </w:t>
      </w:r>
      <w:r w:rsidRPr="00883E0C">
        <w:rPr>
          <w:rFonts w:asciiTheme="minorHAnsi" w:hAnsiTheme="minorHAnsi" w:cstheme="minorHAnsi"/>
          <w:i/>
        </w:rPr>
        <w:t xml:space="preserve">droits des femmes. Les États parties, la société civile et les institutions nationales des droits de l'homme doivent continuer à promouvoir et à renforcer la participation </w:t>
      </w:r>
      <w:r w:rsidR="00B057FF" w:rsidRPr="00883E0C">
        <w:rPr>
          <w:rFonts w:asciiTheme="minorHAnsi" w:hAnsiTheme="minorHAnsi" w:cstheme="minorHAnsi"/>
          <w:i/>
        </w:rPr>
        <w:t xml:space="preserve">des </w:t>
      </w:r>
      <w:r w:rsidRPr="00883E0C">
        <w:rPr>
          <w:rFonts w:asciiTheme="minorHAnsi" w:hAnsiTheme="minorHAnsi" w:cstheme="minorHAnsi"/>
          <w:i/>
        </w:rPr>
        <w:t xml:space="preserve">femmes et des filles handicapées dans </w:t>
      </w:r>
      <w:r w:rsidR="00F22D52" w:rsidRPr="00883E0C">
        <w:rPr>
          <w:rFonts w:asciiTheme="minorHAnsi" w:hAnsiTheme="minorHAnsi" w:cstheme="minorHAnsi"/>
          <w:i/>
        </w:rPr>
        <w:t>tous les domaines de la vie.</w:t>
      </w:r>
    </w:p>
    <w:p w:rsidR="00CB0FB3" w:rsidRPr="00883E0C" w:rsidRDefault="00CB0FB3" w:rsidP="00966528">
      <w:pPr>
        <w:jc w:val="both"/>
        <w:rPr>
          <w:rFonts w:asciiTheme="minorHAnsi" w:hAnsiTheme="minorHAnsi" w:cstheme="minorHAnsi"/>
        </w:rPr>
      </w:pPr>
    </w:p>
    <w:p w:rsidR="00D766B5" w:rsidRDefault="007C6C3D">
      <w:pPr>
        <w:pStyle w:val="Paragraphedeliste"/>
        <w:rPr>
          <w:rFonts w:asciiTheme="minorHAnsi" w:hAnsiTheme="minorHAnsi" w:cstheme="minorHAnsi"/>
        </w:rPr>
      </w:pPr>
      <w:r w:rsidRPr="00883E0C">
        <w:rPr>
          <w:rFonts w:asciiTheme="minorHAnsi" w:hAnsiTheme="minorHAnsi" w:cstheme="minorHAnsi"/>
        </w:rPr>
        <w:t xml:space="preserve">                                                           * * *</w:t>
      </w:r>
    </w:p>
    <w:p w:rsidR="004C4A22" w:rsidRPr="00883E0C" w:rsidRDefault="004C4A22" w:rsidP="00602BB2">
      <w:pPr>
        <w:jc w:val="both"/>
        <w:rPr>
          <w:rFonts w:asciiTheme="minorHAnsi" w:hAnsiTheme="minorHAnsi" w:cstheme="minorHAnsi"/>
        </w:rPr>
      </w:pPr>
    </w:p>
    <w:p w:rsidR="00D766B5" w:rsidRDefault="001F6D4B">
      <w:pPr>
        <w:pStyle w:val="Paragraphedeliste"/>
        <w:numPr>
          <w:ilvl w:val="0"/>
          <w:numId w:val="9"/>
        </w:numPr>
        <w:jc w:val="both"/>
        <w:rPr>
          <w:rFonts w:asciiTheme="minorHAnsi" w:hAnsiTheme="minorHAnsi" w:cstheme="minorHAnsi"/>
        </w:rPr>
      </w:pPr>
      <w:r w:rsidRPr="00883E0C">
        <w:rPr>
          <w:rFonts w:asciiTheme="minorHAnsi" w:hAnsiTheme="minorHAnsi" w:cstheme="minorHAnsi"/>
          <w:b/>
        </w:rPr>
        <w:t xml:space="preserve">Nécessité d'un </w:t>
      </w:r>
      <w:r w:rsidR="00D22E64" w:rsidRPr="00883E0C">
        <w:rPr>
          <w:rFonts w:asciiTheme="minorHAnsi" w:hAnsiTheme="minorHAnsi" w:cstheme="minorHAnsi"/>
          <w:b/>
        </w:rPr>
        <w:t xml:space="preserve">cadre juridique et politique international plus solide qui reconnaisse les risques accrus de violence auxquels sont confrontées les femmes et les filles handicapées. </w:t>
      </w:r>
    </w:p>
    <w:p w:rsidR="00B057FF" w:rsidRPr="00883E0C" w:rsidRDefault="00B057FF" w:rsidP="0075015B">
      <w:pPr>
        <w:jc w:val="both"/>
        <w:rPr>
          <w:rFonts w:asciiTheme="minorHAnsi" w:hAnsiTheme="minorHAnsi" w:cstheme="minorHAnsi"/>
        </w:rPr>
      </w:pPr>
    </w:p>
    <w:p w:rsidR="00D766B5" w:rsidRDefault="00B64905">
      <w:pPr>
        <w:jc w:val="both"/>
        <w:rPr>
          <w:rFonts w:asciiTheme="minorHAnsi" w:hAnsiTheme="minorHAnsi" w:cstheme="minorHAnsi"/>
        </w:rPr>
      </w:pPr>
      <w:r w:rsidRPr="00883E0C">
        <w:rPr>
          <w:rFonts w:asciiTheme="minorHAnsi" w:hAnsiTheme="minorHAnsi" w:cstheme="minorHAnsi"/>
        </w:rPr>
        <w:t>On entend par "violence à l'égard des femmes</w:t>
      </w:r>
      <w:r w:rsidR="001F6D4B" w:rsidRPr="00883E0C">
        <w:rPr>
          <w:rFonts w:asciiTheme="minorHAnsi" w:hAnsiTheme="minorHAnsi" w:cstheme="minorHAnsi"/>
        </w:rPr>
        <w:t xml:space="preserve">" </w:t>
      </w:r>
      <w:r w:rsidRPr="00883E0C">
        <w:rPr>
          <w:rFonts w:asciiTheme="minorHAnsi" w:hAnsiTheme="minorHAnsi" w:cstheme="minorHAnsi"/>
        </w:rPr>
        <w:t xml:space="preserve">tout acte de violence fondé sur le sexe qui entraîne ou risque d'entraîner pour les femmes un préjudice ou des souffrances physiques, </w:t>
      </w:r>
      <w:r w:rsidRPr="00883E0C">
        <w:rPr>
          <w:rFonts w:asciiTheme="minorHAnsi" w:hAnsiTheme="minorHAnsi" w:cstheme="minorHAnsi"/>
        </w:rPr>
        <w:lastRenderedPageBreak/>
        <w:t>sexuelles ou psychologiques, y compris la menace de tels actes, la contrainte ou la privation arbitraire de liberté, que ce soit dans la vie publique ou dans la vie privée</w:t>
      </w:r>
      <w:r w:rsidR="00B057FF" w:rsidRPr="00883E0C">
        <w:rPr>
          <w:rFonts w:asciiTheme="minorHAnsi" w:hAnsiTheme="minorHAnsi" w:cstheme="minorHAnsi"/>
        </w:rPr>
        <w:t xml:space="preserve">, </w:t>
      </w:r>
      <w:r w:rsidRPr="00883E0C">
        <w:rPr>
          <w:rStyle w:val="Appelnotedebasdep"/>
          <w:rFonts w:asciiTheme="minorHAnsi" w:hAnsiTheme="minorHAnsi" w:cstheme="minorHAnsi"/>
        </w:rPr>
        <w:footnoteReference w:id="3"/>
      </w:r>
      <w:r w:rsidRPr="00883E0C">
        <w:rPr>
          <w:rFonts w:asciiTheme="minorHAnsi" w:hAnsiTheme="minorHAnsi" w:cstheme="minorHAnsi"/>
        </w:rPr>
        <w:t xml:space="preserve">et qui est sous-tendu par l'inégalité, la discrimination et des normes </w:t>
      </w:r>
      <w:r w:rsidR="00072BAA" w:rsidRPr="00883E0C">
        <w:rPr>
          <w:rFonts w:asciiTheme="minorHAnsi" w:hAnsiTheme="minorHAnsi" w:cstheme="minorHAnsi"/>
        </w:rPr>
        <w:t xml:space="preserve">et pratiques </w:t>
      </w:r>
      <w:r w:rsidRPr="00883E0C">
        <w:rPr>
          <w:rFonts w:asciiTheme="minorHAnsi" w:hAnsiTheme="minorHAnsi" w:cstheme="minorHAnsi"/>
        </w:rPr>
        <w:t>néfastes</w:t>
      </w:r>
      <w:r w:rsidR="00072BAA" w:rsidRPr="00883E0C">
        <w:rPr>
          <w:rFonts w:asciiTheme="minorHAnsi" w:hAnsiTheme="minorHAnsi" w:cstheme="minorHAnsi"/>
        </w:rPr>
        <w:t>.</w:t>
      </w:r>
      <w:r w:rsidRPr="00883E0C">
        <w:rPr>
          <w:rStyle w:val="Appelnotedebasdep"/>
          <w:rFonts w:asciiTheme="minorHAnsi" w:hAnsiTheme="minorHAnsi" w:cstheme="minorHAnsi"/>
        </w:rPr>
        <w:footnoteReference w:id="4"/>
      </w:r>
      <w:r w:rsidR="00072BAA" w:rsidRPr="00883E0C">
        <w:rPr>
          <w:rFonts w:asciiTheme="minorHAnsi" w:hAnsiTheme="minorHAnsi" w:cstheme="minorHAnsi"/>
        </w:rPr>
        <w:t>La violence sexiste à l'égard des femmes est dirigée contre la femme parce qu'elle est une femme ou qui affecte les femmes de manière disproportionnée</w:t>
      </w:r>
      <w:r w:rsidR="00072BAA" w:rsidRPr="00883E0C">
        <w:rPr>
          <w:rStyle w:val="Appelnotedebasdep"/>
          <w:rFonts w:asciiTheme="minorHAnsi" w:hAnsiTheme="minorHAnsi" w:cstheme="minorHAnsi"/>
        </w:rPr>
        <w:footnoteReference w:id="5"/>
      </w:r>
      <w:r w:rsidR="00072BAA" w:rsidRPr="00883E0C">
        <w:rPr>
          <w:rFonts w:asciiTheme="minorHAnsi" w:hAnsiTheme="minorHAnsi" w:cstheme="minorHAnsi"/>
        </w:rPr>
        <w:t>.</w:t>
      </w:r>
    </w:p>
    <w:p w:rsidR="00B64905" w:rsidRPr="00883E0C" w:rsidRDefault="00B64905" w:rsidP="0075015B">
      <w:pPr>
        <w:jc w:val="both"/>
        <w:rPr>
          <w:rFonts w:asciiTheme="minorHAnsi" w:hAnsiTheme="minorHAnsi" w:cstheme="minorHAnsi"/>
        </w:rPr>
      </w:pPr>
    </w:p>
    <w:p w:rsidR="00D766B5" w:rsidRDefault="009A78D1">
      <w:pPr>
        <w:jc w:val="both"/>
        <w:rPr>
          <w:rFonts w:asciiTheme="minorHAnsi" w:hAnsiTheme="minorHAnsi" w:cstheme="minorHAnsi"/>
          <w:bCs/>
          <w:iCs/>
        </w:rPr>
      </w:pPr>
      <w:r w:rsidRPr="00883E0C">
        <w:rPr>
          <w:rFonts w:asciiTheme="minorHAnsi" w:hAnsiTheme="minorHAnsi" w:cstheme="minorHAnsi"/>
          <w:bCs/>
          <w:iCs/>
          <w:lang w:val="en-US"/>
        </w:rPr>
        <w:t xml:space="preserve">La </w:t>
      </w:r>
      <w:hyperlink r:id="rId18" w:history="1">
        <w:r w:rsidRPr="00883E0C">
          <w:rPr>
            <w:rStyle w:val="Lienhypertexte"/>
            <w:rFonts w:asciiTheme="minorHAnsi" w:hAnsiTheme="minorHAnsi" w:cstheme="minorHAnsi"/>
            <w:bCs/>
            <w:iCs/>
            <w:lang w:val="en-US"/>
          </w:rPr>
          <w:t>Convention relative</w:t>
        </w:r>
        <w:r w:rsidR="001F6D4B" w:rsidRPr="00883E0C">
          <w:rPr>
            <w:rStyle w:val="Lienhypertexte"/>
            <w:rFonts w:asciiTheme="minorHAnsi" w:hAnsiTheme="minorHAnsi" w:cstheme="minorHAnsi"/>
            <w:bCs/>
            <w:iCs/>
            <w:lang w:val="en-US"/>
          </w:rPr>
          <w:t xml:space="preserve">aux droits des personnes handicapées </w:t>
        </w:r>
      </w:hyperlink>
      <w:r w:rsidR="00EB7F0C" w:rsidRPr="00883E0C">
        <w:rPr>
          <w:rFonts w:asciiTheme="minorHAnsi" w:hAnsiTheme="minorHAnsi" w:cstheme="minorHAnsi"/>
          <w:bCs/>
          <w:iCs/>
          <w:lang w:val="en-US"/>
        </w:rPr>
        <w:t xml:space="preserve">reconnaît que les femmes et les filles handicapées sont souvent plus exposées à </w:t>
      </w:r>
      <w:r w:rsidR="001F6D4B" w:rsidRPr="00883E0C">
        <w:rPr>
          <w:rFonts w:asciiTheme="minorHAnsi" w:hAnsiTheme="minorHAnsi" w:cstheme="minorHAnsi"/>
          <w:bCs/>
          <w:iCs/>
          <w:lang w:val="en-US"/>
        </w:rPr>
        <w:t>la violen</w:t>
      </w:r>
      <w:r w:rsidR="001F6D4B" w:rsidRPr="00883E0C">
        <w:rPr>
          <w:rFonts w:asciiTheme="minorHAnsi" w:hAnsiTheme="minorHAnsi" w:cstheme="minorHAnsi"/>
          <w:bCs/>
          <w:iCs/>
          <w:lang w:val="en-US"/>
        </w:rPr>
        <w:t xml:space="preserve">ce, aux blessures et aux abus </w:t>
      </w:r>
      <w:r w:rsidR="00EB7F0C" w:rsidRPr="00883E0C">
        <w:rPr>
          <w:rFonts w:asciiTheme="minorHAnsi" w:hAnsiTheme="minorHAnsi" w:cstheme="minorHAnsi"/>
          <w:bCs/>
          <w:iCs/>
          <w:lang w:val="en-US"/>
        </w:rPr>
        <w:t xml:space="preserve">et que le handicap ajoute un autre niveau de discrimination et de privation. </w:t>
      </w:r>
      <w:r w:rsidR="00EA09EE" w:rsidRPr="00883E0C">
        <w:rPr>
          <w:rFonts w:asciiTheme="minorHAnsi" w:hAnsiTheme="minorHAnsi" w:cstheme="minorHAnsi"/>
          <w:bCs/>
          <w:iCs/>
          <w:lang w:val="en-US"/>
        </w:rPr>
        <w:t>Le Comité CEDAW s'est également inquiété de l'aggravation de la discrimination dont souffrent les femmes handicapées et du peu d'informations sur cette question dans les rapports des États parties.</w:t>
      </w:r>
      <w:r w:rsidR="00EA09EE" w:rsidRPr="00883E0C">
        <w:rPr>
          <w:rStyle w:val="Appelnotedebasdep"/>
          <w:rFonts w:asciiTheme="minorHAnsi" w:hAnsiTheme="minorHAnsi" w:cstheme="minorHAnsi"/>
          <w:bCs/>
          <w:iCs/>
          <w:lang w:val="en-US"/>
        </w:rPr>
        <w:footnoteReference w:id="6"/>
      </w:r>
      <w:r w:rsidR="00EB7F0C" w:rsidRPr="00883E0C">
        <w:rPr>
          <w:rFonts w:asciiTheme="minorHAnsi" w:hAnsiTheme="minorHAnsi" w:cstheme="minorHAnsi"/>
          <w:bCs/>
          <w:iCs/>
          <w:lang w:val="en-US"/>
        </w:rPr>
        <w:t xml:space="preserve"> Le handicap et la discrimination fondée sur le sexe peuvent entraîner une plus grande probabilité de pauvreté, un accès limité aux services de protection et aux ressources, et un risque accru de violence et d'abus tout au long de la vie. D'où l'</w:t>
      </w:r>
      <w:r w:rsidR="00D6364E" w:rsidRPr="00883E0C">
        <w:rPr>
          <w:rFonts w:asciiTheme="minorHAnsi" w:hAnsiTheme="minorHAnsi" w:cstheme="minorHAnsi"/>
          <w:bCs/>
          <w:iCs/>
          <w:lang w:val="en-US"/>
        </w:rPr>
        <w:t xml:space="preserve">obligation des </w:t>
      </w:r>
      <w:r w:rsidR="00DD74B6" w:rsidRPr="00883E0C">
        <w:rPr>
          <w:rFonts w:asciiTheme="minorHAnsi" w:hAnsiTheme="minorHAnsi" w:cstheme="minorHAnsi"/>
          <w:bCs/>
          <w:iCs/>
          <w:lang w:val="en-US"/>
        </w:rPr>
        <w:t xml:space="preserve">États </w:t>
      </w:r>
      <w:r w:rsidR="00D6364E" w:rsidRPr="00883E0C">
        <w:rPr>
          <w:rFonts w:asciiTheme="minorHAnsi" w:hAnsiTheme="minorHAnsi" w:cstheme="minorHAnsi"/>
          <w:bCs/>
          <w:iCs/>
          <w:lang w:val="en-US"/>
        </w:rPr>
        <w:t>parties, en vertu de l'</w:t>
      </w:r>
      <w:hyperlink r:id="rId19" w:anchor="16" w:history="1">
        <w:r w:rsidR="00D6364E" w:rsidRPr="00883E0C">
          <w:rPr>
            <w:rStyle w:val="Lienhypertexte"/>
            <w:rFonts w:asciiTheme="minorHAnsi" w:hAnsiTheme="minorHAnsi" w:cstheme="minorHAnsi"/>
            <w:bCs/>
            <w:iCs/>
            <w:lang w:val="en-US"/>
          </w:rPr>
          <w:t xml:space="preserve">article 16 de la </w:t>
        </w:r>
        <w:r w:rsidR="00EA09EE" w:rsidRPr="00883E0C">
          <w:rPr>
            <w:rStyle w:val="Lienhypertexte"/>
            <w:rFonts w:asciiTheme="minorHAnsi" w:hAnsiTheme="minorHAnsi" w:cstheme="minorHAnsi"/>
            <w:bCs/>
            <w:iCs/>
            <w:lang w:val="en-US"/>
          </w:rPr>
          <w:t>CDPH</w:t>
        </w:r>
      </w:hyperlink>
      <w:r w:rsidR="00D6364E" w:rsidRPr="00883E0C">
        <w:rPr>
          <w:rFonts w:asciiTheme="minorHAnsi" w:hAnsiTheme="minorHAnsi" w:cstheme="minorHAnsi"/>
          <w:bCs/>
          <w:iCs/>
          <w:lang w:val="en-US"/>
        </w:rPr>
        <w:t xml:space="preserve">, de mettre en place une </w:t>
      </w:r>
      <w:r w:rsidR="00EB7F0C" w:rsidRPr="00883E0C">
        <w:rPr>
          <w:rFonts w:asciiTheme="minorHAnsi" w:hAnsiTheme="minorHAnsi" w:cstheme="minorHAnsi"/>
          <w:bCs/>
          <w:iCs/>
          <w:lang w:val="en-US"/>
        </w:rPr>
        <w:t xml:space="preserve">législation et des politiques </w:t>
      </w:r>
      <w:r w:rsidR="00D6364E" w:rsidRPr="00883E0C">
        <w:rPr>
          <w:rFonts w:asciiTheme="minorHAnsi" w:hAnsiTheme="minorHAnsi" w:cstheme="minorHAnsi"/>
          <w:bCs/>
          <w:iCs/>
          <w:lang w:val="en-US"/>
        </w:rPr>
        <w:t>efficaces</w:t>
      </w:r>
      <w:r w:rsidR="00D6364E" w:rsidRPr="00883E0C">
        <w:t xml:space="preserve">, </w:t>
      </w:r>
      <w:r w:rsidR="00D6364E" w:rsidRPr="00883E0C">
        <w:rPr>
          <w:rFonts w:asciiTheme="minorHAnsi" w:hAnsiTheme="minorHAnsi" w:cstheme="minorHAnsi"/>
          <w:bCs/>
          <w:iCs/>
          <w:lang w:val="en-US"/>
        </w:rPr>
        <w:t xml:space="preserve">y compris une législation et des politiques axées sur le </w:t>
      </w:r>
      <w:r w:rsidR="005C3B43" w:rsidRPr="00883E0C">
        <w:rPr>
          <w:rFonts w:asciiTheme="minorHAnsi" w:hAnsiTheme="minorHAnsi" w:cstheme="minorHAnsi"/>
          <w:bCs/>
          <w:iCs/>
          <w:lang w:val="en-US"/>
        </w:rPr>
        <w:t xml:space="preserve">genre </w:t>
      </w:r>
      <w:r w:rsidR="00D6364E" w:rsidRPr="00883E0C">
        <w:rPr>
          <w:rFonts w:asciiTheme="minorHAnsi" w:hAnsiTheme="minorHAnsi" w:cstheme="minorHAnsi"/>
          <w:bCs/>
          <w:iCs/>
          <w:lang w:val="en-US"/>
        </w:rPr>
        <w:t xml:space="preserve">et l'enfant, pour veiller à ce que les cas d'exploitation, de violence et de maltraitance à l'encontre des personnes handicapées soient </w:t>
      </w:r>
      <w:r w:rsidR="00EB7F0C" w:rsidRPr="00883E0C">
        <w:rPr>
          <w:rFonts w:asciiTheme="minorHAnsi" w:hAnsiTheme="minorHAnsi" w:cstheme="minorHAnsi"/>
          <w:bCs/>
          <w:iCs/>
          <w:lang w:val="en-US"/>
        </w:rPr>
        <w:t xml:space="preserve">identifiés, fassent l'objet d'enquêtes et, le cas échéant, de poursuites. </w:t>
      </w:r>
      <w:r w:rsidR="00FD07AE" w:rsidRPr="00883E0C">
        <w:rPr>
          <w:rFonts w:asciiTheme="minorHAnsi" w:hAnsiTheme="minorHAnsi" w:cstheme="minorHAnsi"/>
          <w:bCs/>
          <w:iCs/>
          <w:lang w:val="en-US"/>
        </w:rPr>
        <w:t xml:space="preserve">Ces dispositions sont complétées par celles de la </w:t>
      </w:r>
      <w:hyperlink r:id="rId20" w:history="1">
        <w:r w:rsidR="00FD07AE" w:rsidRPr="00883E0C">
          <w:rPr>
            <w:rStyle w:val="Lienhypertexte"/>
            <w:rFonts w:asciiTheme="minorHAnsi" w:hAnsiTheme="minorHAnsi" w:cstheme="minorHAnsi"/>
            <w:bCs/>
            <w:iCs/>
          </w:rPr>
          <w:t>Convention relative aux droits de l'enfant (</w:t>
        </w:r>
      </w:hyperlink>
      <w:r w:rsidR="00FD07AE" w:rsidRPr="00883E0C">
        <w:rPr>
          <w:rFonts w:asciiTheme="minorHAnsi" w:hAnsiTheme="minorHAnsi" w:cstheme="minorHAnsi"/>
          <w:bCs/>
          <w:iCs/>
        </w:rPr>
        <w:t>article 19 - droit de ne pas subir de violence)</w:t>
      </w:r>
      <w:r w:rsidR="00094816" w:rsidRPr="00883E0C">
        <w:rPr>
          <w:rStyle w:val="Appelnotedebasdep"/>
          <w:rFonts w:asciiTheme="minorHAnsi" w:hAnsiTheme="minorHAnsi" w:cstheme="minorHAnsi"/>
          <w:bCs/>
          <w:iCs/>
        </w:rPr>
        <w:footnoteReference w:id="7"/>
      </w:r>
      <w:r w:rsidR="00094816" w:rsidRPr="00883E0C">
        <w:rPr>
          <w:rFonts w:asciiTheme="minorHAnsi" w:hAnsiTheme="minorHAnsi" w:cstheme="minorHAnsi"/>
          <w:bCs/>
          <w:iCs/>
        </w:rPr>
        <w:t>.</w:t>
      </w:r>
    </w:p>
    <w:p w:rsidR="00D766B5" w:rsidRDefault="0075015B">
      <w:pPr>
        <w:jc w:val="both"/>
        <w:rPr>
          <w:rFonts w:asciiTheme="minorHAnsi" w:hAnsiTheme="minorHAnsi" w:cstheme="minorHAnsi"/>
        </w:rPr>
      </w:pPr>
      <w:r w:rsidRPr="00883E0C">
        <w:rPr>
          <w:rFonts w:asciiTheme="minorHAnsi" w:hAnsiTheme="minorHAnsi" w:cstheme="minorHAnsi"/>
          <w:bCs/>
          <w:iCs/>
          <w:lang w:val="en-US"/>
        </w:rPr>
        <w:t>L'</w:t>
      </w:r>
      <w:hyperlink r:id="rId21" w:anchor="25" w:history="1">
        <w:r w:rsidRPr="00883E0C">
          <w:rPr>
            <w:rStyle w:val="Lienhypertexte"/>
            <w:rFonts w:asciiTheme="minorHAnsi" w:hAnsiTheme="minorHAnsi" w:cstheme="minorHAnsi"/>
            <w:bCs/>
            <w:iCs/>
            <w:lang w:val="en-US"/>
          </w:rPr>
          <w:t xml:space="preserve">article 25 de la </w:t>
        </w:r>
        <w:r w:rsidR="00EA09EE" w:rsidRPr="00883E0C">
          <w:rPr>
            <w:rStyle w:val="Lienhypertexte"/>
            <w:rFonts w:asciiTheme="minorHAnsi" w:hAnsiTheme="minorHAnsi" w:cstheme="minorHAnsi"/>
            <w:bCs/>
            <w:iCs/>
            <w:lang w:val="en-US"/>
          </w:rPr>
          <w:t xml:space="preserve">CDPH </w:t>
        </w:r>
      </w:hyperlink>
      <w:r w:rsidRPr="00883E0C">
        <w:rPr>
          <w:rFonts w:asciiTheme="minorHAnsi" w:hAnsiTheme="minorHAnsi" w:cstheme="minorHAnsi"/>
          <w:bCs/>
          <w:iCs/>
          <w:lang w:val="en-US"/>
        </w:rPr>
        <w:t xml:space="preserve">souligne également l'importance de l'accès à des services de soins de santé qui tiennent compte du genre et </w:t>
      </w:r>
      <w:r w:rsidR="00701469" w:rsidRPr="00883E0C">
        <w:rPr>
          <w:rFonts w:asciiTheme="minorHAnsi" w:hAnsiTheme="minorHAnsi" w:cstheme="minorHAnsi"/>
          <w:bCs/>
          <w:iCs/>
          <w:lang w:val="en-US"/>
        </w:rPr>
        <w:t xml:space="preserve">à des </w:t>
      </w:r>
      <w:r w:rsidR="008D4D17" w:rsidRPr="00883E0C">
        <w:rPr>
          <w:rFonts w:asciiTheme="minorHAnsi" w:hAnsiTheme="minorHAnsi" w:cstheme="minorHAnsi"/>
          <w:bCs/>
          <w:iCs/>
          <w:lang w:val="en-US"/>
        </w:rPr>
        <w:t>services de</w:t>
      </w:r>
      <w:r w:rsidRPr="00883E0C">
        <w:rPr>
          <w:rFonts w:asciiTheme="minorHAnsi" w:hAnsiTheme="minorHAnsi" w:cstheme="minorHAnsi"/>
          <w:bCs/>
          <w:iCs/>
          <w:lang w:val="en-US"/>
        </w:rPr>
        <w:t xml:space="preserve"> santé reproductive de qualité </w:t>
      </w:r>
      <w:r w:rsidR="008D4D17" w:rsidRPr="00883E0C">
        <w:rPr>
          <w:rFonts w:asciiTheme="minorHAnsi" w:hAnsiTheme="minorHAnsi" w:cstheme="minorHAnsi"/>
          <w:bCs/>
          <w:iCs/>
          <w:lang w:val="en-US"/>
        </w:rPr>
        <w:t xml:space="preserve">pour les personnes handicapées, et la </w:t>
      </w:r>
      <w:hyperlink r:id="rId22" w:history="1">
        <w:r w:rsidR="008D4D17" w:rsidRPr="00883E0C">
          <w:rPr>
            <w:rStyle w:val="Lienhypertexte"/>
            <w:rFonts w:asciiTheme="minorHAnsi" w:hAnsiTheme="minorHAnsi" w:cstheme="minorHAnsi"/>
            <w:bCs/>
            <w:iCs/>
          </w:rPr>
          <w:t xml:space="preserve">Convention sur l'élimination de toutes les formes de discrimination à l'égard des femmes </w:t>
        </w:r>
      </w:hyperlink>
      <w:r w:rsidR="008D4D17" w:rsidRPr="00883E0C">
        <w:rPr>
          <w:rFonts w:asciiTheme="minorHAnsi" w:hAnsiTheme="minorHAnsi" w:cstheme="minorHAnsi"/>
          <w:bCs/>
          <w:iCs/>
          <w:lang w:val="en-US"/>
        </w:rPr>
        <w:t xml:space="preserve">appelle les États parties à éliminer la discrimination dans le domaine des soins de santé </w:t>
      </w:r>
      <w:hyperlink r:id="rId23" w:history="1">
        <w:r w:rsidR="008D4D17" w:rsidRPr="00883E0C">
          <w:rPr>
            <w:rStyle w:val="Lienhypertexte"/>
            <w:rFonts w:asciiTheme="minorHAnsi" w:hAnsiTheme="minorHAnsi" w:cstheme="minorHAnsi"/>
            <w:bCs/>
            <w:iCs/>
            <w:lang w:val="en-US"/>
          </w:rPr>
          <w:t>(article 12)</w:t>
        </w:r>
      </w:hyperlink>
      <w:r w:rsidR="008D4D17" w:rsidRPr="00883E0C">
        <w:rPr>
          <w:rFonts w:asciiTheme="minorHAnsi" w:hAnsiTheme="minorHAnsi" w:cstheme="minorHAnsi"/>
          <w:bCs/>
          <w:iCs/>
          <w:lang w:val="en-US"/>
        </w:rPr>
        <w:t xml:space="preserve">, ce qui inclut la reconnaissance des </w:t>
      </w:r>
      <w:hyperlink r:id="rId24" w:history="1">
        <w:r w:rsidR="008D4D17" w:rsidRPr="00883E0C">
          <w:rPr>
            <w:rStyle w:val="Lienhypertexte"/>
            <w:rFonts w:asciiTheme="minorHAnsi" w:hAnsiTheme="minorHAnsi" w:cstheme="minorHAnsi"/>
            <w:bCs/>
            <w:iCs/>
            <w:lang w:val="en-US"/>
          </w:rPr>
          <w:t xml:space="preserve">droits sexuels et reproductifs et de la santé pour toutes les femmes </w:t>
        </w:r>
      </w:hyperlink>
      <w:r w:rsidR="00FE13DB" w:rsidRPr="00883E0C">
        <w:rPr>
          <w:rStyle w:val="Appelnotedebasdep"/>
          <w:rFonts w:asciiTheme="minorHAnsi" w:hAnsiTheme="minorHAnsi" w:cstheme="minorHAnsi"/>
          <w:bCs/>
          <w:iCs/>
          <w:lang w:val="en-US"/>
        </w:rPr>
        <w:footnoteReference w:id="8"/>
      </w:r>
      <w:r w:rsidR="008D4D17" w:rsidRPr="00883E0C">
        <w:rPr>
          <w:rFonts w:asciiTheme="minorHAnsi" w:hAnsiTheme="minorHAnsi" w:cstheme="minorHAnsi"/>
          <w:bCs/>
          <w:iCs/>
          <w:lang w:val="en-US"/>
        </w:rPr>
        <w:t xml:space="preserve">. </w:t>
      </w:r>
    </w:p>
    <w:p w:rsidR="00C65A41" w:rsidRPr="00883E0C" w:rsidRDefault="00C65A41" w:rsidP="00602BB2">
      <w:pPr>
        <w:jc w:val="both"/>
        <w:rPr>
          <w:rFonts w:asciiTheme="minorHAnsi" w:hAnsiTheme="minorHAnsi" w:cstheme="minorHAnsi"/>
          <w:bCs/>
          <w:iCs/>
          <w:lang w:val="en-US"/>
        </w:rPr>
      </w:pPr>
    </w:p>
    <w:p w:rsidR="00D766B5" w:rsidRDefault="001F6D4B">
      <w:pPr>
        <w:jc w:val="both"/>
        <w:rPr>
          <w:rFonts w:asciiTheme="minorHAnsi" w:hAnsiTheme="minorHAnsi" w:cstheme="minorHAnsi"/>
          <w:bCs/>
          <w:iCs/>
        </w:rPr>
      </w:pPr>
      <w:r w:rsidRPr="00883E0C">
        <w:rPr>
          <w:rFonts w:asciiTheme="minorHAnsi" w:hAnsiTheme="minorHAnsi" w:cstheme="minorHAnsi"/>
          <w:bCs/>
          <w:iCs/>
          <w:lang w:val="en-US"/>
        </w:rPr>
        <w:t xml:space="preserve">La </w:t>
      </w:r>
      <w:hyperlink r:id="rId25" w:history="1">
        <w:r w:rsidRPr="00883E0C">
          <w:rPr>
            <w:rStyle w:val="Lienhypertexte"/>
            <w:rFonts w:asciiTheme="minorHAnsi" w:hAnsiTheme="minorHAnsi" w:cstheme="minorHAnsi"/>
            <w:bCs/>
            <w:iCs/>
            <w:lang w:val="en-US"/>
          </w:rPr>
          <w:t xml:space="preserve">Convention relative aux </w:t>
        </w:r>
        <w:r w:rsidR="00097182" w:rsidRPr="00883E0C">
          <w:rPr>
            <w:rStyle w:val="Lienhypertexte"/>
            <w:rFonts w:asciiTheme="minorHAnsi" w:hAnsiTheme="minorHAnsi" w:cstheme="minorHAnsi"/>
            <w:bCs/>
            <w:iCs/>
            <w:lang w:val="en-US"/>
          </w:rPr>
          <w:t xml:space="preserve">droits des personnes handicapées </w:t>
        </w:r>
      </w:hyperlink>
      <w:r w:rsidRPr="00883E0C">
        <w:rPr>
          <w:rFonts w:asciiTheme="minorHAnsi" w:hAnsiTheme="minorHAnsi" w:cstheme="minorHAnsi"/>
          <w:bCs/>
          <w:iCs/>
          <w:lang w:val="en-US"/>
        </w:rPr>
        <w:t xml:space="preserve">reconnaît </w:t>
      </w:r>
      <w:r w:rsidR="004928A6" w:rsidRPr="00883E0C">
        <w:rPr>
          <w:rFonts w:asciiTheme="minorHAnsi" w:hAnsiTheme="minorHAnsi" w:cstheme="minorHAnsi"/>
          <w:bCs/>
          <w:iCs/>
          <w:lang w:val="en-US"/>
        </w:rPr>
        <w:t xml:space="preserve">également </w:t>
      </w:r>
      <w:r w:rsidRPr="00883E0C">
        <w:rPr>
          <w:rFonts w:asciiTheme="minorHAnsi" w:hAnsiTheme="minorHAnsi" w:cstheme="minorHAnsi"/>
          <w:bCs/>
          <w:iCs/>
          <w:lang w:val="en-US"/>
        </w:rPr>
        <w:t xml:space="preserve">les multiples formes de discrimination auxquelles sont confrontées les femmes </w:t>
      </w:r>
      <w:r w:rsidR="00542146" w:rsidRPr="00883E0C">
        <w:rPr>
          <w:rFonts w:asciiTheme="minorHAnsi" w:hAnsiTheme="minorHAnsi" w:cstheme="minorHAnsi"/>
          <w:bCs/>
          <w:iCs/>
          <w:lang w:val="en-US"/>
        </w:rPr>
        <w:t xml:space="preserve">et les filles </w:t>
      </w:r>
      <w:r w:rsidRPr="00883E0C">
        <w:rPr>
          <w:rFonts w:asciiTheme="minorHAnsi" w:hAnsiTheme="minorHAnsi" w:cstheme="minorHAnsi"/>
          <w:bCs/>
          <w:iCs/>
          <w:lang w:val="en-US"/>
        </w:rPr>
        <w:t xml:space="preserve">handicapées, ce qui </w:t>
      </w:r>
      <w:r w:rsidR="00701469" w:rsidRPr="00883E0C">
        <w:rPr>
          <w:rFonts w:asciiTheme="minorHAnsi" w:hAnsiTheme="minorHAnsi" w:cstheme="minorHAnsi"/>
          <w:bCs/>
          <w:iCs/>
          <w:lang w:val="en-US"/>
        </w:rPr>
        <w:t xml:space="preserve">signifie que les femmes </w:t>
      </w:r>
      <w:r w:rsidR="00542146" w:rsidRPr="00883E0C">
        <w:rPr>
          <w:rFonts w:asciiTheme="minorHAnsi" w:hAnsiTheme="minorHAnsi" w:cstheme="minorHAnsi"/>
          <w:bCs/>
          <w:iCs/>
          <w:lang w:val="en-US"/>
        </w:rPr>
        <w:t xml:space="preserve">et les filles </w:t>
      </w:r>
      <w:r w:rsidR="00701469" w:rsidRPr="00883E0C">
        <w:rPr>
          <w:rFonts w:asciiTheme="minorHAnsi" w:hAnsiTheme="minorHAnsi" w:cstheme="minorHAnsi"/>
          <w:bCs/>
          <w:iCs/>
          <w:lang w:val="en-US"/>
        </w:rPr>
        <w:t xml:space="preserve">handicapées </w:t>
      </w:r>
      <w:r w:rsidRPr="00883E0C">
        <w:rPr>
          <w:rFonts w:asciiTheme="minorHAnsi" w:hAnsiTheme="minorHAnsi" w:cstheme="minorHAnsi"/>
          <w:bCs/>
          <w:iCs/>
          <w:lang w:val="en-US"/>
        </w:rPr>
        <w:t xml:space="preserve">ne subissent pas la </w:t>
      </w:r>
      <w:r w:rsidR="00701469" w:rsidRPr="00883E0C">
        <w:rPr>
          <w:rFonts w:asciiTheme="minorHAnsi" w:hAnsiTheme="minorHAnsi" w:cstheme="minorHAnsi"/>
          <w:bCs/>
          <w:iCs/>
          <w:lang w:val="en-US"/>
        </w:rPr>
        <w:t xml:space="preserve">discrimination </w:t>
      </w:r>
      <w:r w:rsidRPr="00883E0C">
        <w:rPr>
          <w:rFonts w:asciiTheme="minorHAnsi" w:hAnsiTheme="minorHAnsi" w:cstheme="minorHAnsi"/>
          <w:bCs/>
          <w:iCs/>
          <w:lang w:val="en-US"/>
        </w:rPr>
        <w:t>en tant que "groupe homogène mais plutôt en tant qu'individ</w:t>
      </w:r>
      <w:r w:rsidRPr="00883E0C">
        <w:rPr>
          <w:rFonts w:asciiTheme="minorHAnsi" w:hAnsiTheme="minorHAnsi" w:cstheme="minorHAnsi"/>
          <w:bCs/>
          <w:iCs/>
          <w:lang w:val="en-US"/>
        </w:rPr>
        <w:t>us avec des couches d'identités multidimensionnelles"</w:t>
      </w:r>
      <w:r w:rsidR="0075553B" w:rsidRPr="00883E0C">
        <w:rPr>
          <w:rFonts w:asciiTheme="minorHAnsi" w:hAnsiTheme="minorHAnsi" w:cstheme="minorHAnsi"/>
          <w:bCs/>
          <w:iCs/>
          <w:lang w:val="en-US"/>
        </w:rPr>
        <w:t>.</w:t>
      </w:r>
      <w:r w:rsidR="0075553B" w:rsidRPr="00883E0C">
        <w:rPr>
          <w:rStyle w:val="Appelnotedebasdep"/>
          <w:rFonts w:asciiTheme="minorHAnsi" w:hAnsiTheme="minorHAnsi" w:cstheme="minorHAnsi"/>
          <w:bCs/>
          <w:iCs/>
          <w:lang w:val="en-US"/>
        </w:rPr>
        <w:footnoteReference w:id="9"/>
      </w:r>
      <w:r w:rsidRPr="00883E0C">
        <w:rPr>
          <w:rFonts w:asciiTheme="minorHAnsi" w:hAnsiTheme="minorHAnsi" w:cstheme="minorHAnsi"/>
          <w:bCs/>
          <w:iCs/>
          <w:lang w:val="en-US"/>
        </w:rPr>
        <w:t xml:space="preserve">En outre, </w:t>
      </w:r>
      <w:r w:rsidRPr="00883E0C">
        <w:rPr>
          <w:rFonts w:asciiTheme="minorHAnsi" w:hAnsiTheme="minorHAnsi" w:cstheme="minorHAnsi"/>
          <w:bCs/>
          <w:iCs/>
        </w:rPr>
        <w:t xml:space="preserve">la </w:t>
      </w:r>
      <w:hyperlink r:id="rId26" w:history="1">
        <w:r w:rsidRPr="00883E0C">
          <w:rPr>
            <w:rStyle w:val="Lienhypertexte"/>
            <w:rFonts w:asciiTheme="minorHAnsi" w:hAnsiTheme="minorHAnsi" w:cstheme="minorHAnsi"/>
            <w:bCs/>
            <w:iCs/>
          </w:rPr>
          <w:t xml:space="preserve">Convention sur l'élimination de toutes les formes de discrimination à l'égard des femmes </w:t>
        </w:r>
      </w:hyperlink>
      <w:r w:rsidRPr="00883E0C">
        <w:rPr>
          <w:rFonts w:asciiTheme="minorHAnsi" w:hAnsiTheme="minorHAnsi" w:cstheme="minorHAnsi"/>
          <w:bCs/>
          <w:iCs/>
        </w:rPr>
        <w:t>reconnaît que la discr</w:t>
      </w:r>
      <w:r w:rsidRPr="00883E0C">
        <w:rPr>
          <w:rFonts w:asciiTheme="minorHAnsi" w:hAnsiTheme="minorHAnsi" w:cstheme="minorHAnsi"/>
          <w:bCs/>
          <w:iCs/>
        </w:rPr>
        <w:t>imination à l'égard des femmes, y compris la violence sexiste, est façonnée par les dimensions croisées de l'inégalité, y compris le handicap</w:t>
      </w:r>
      <w:r w:rsidR="0075553B" w:rsidRPr="00883E0C">
        <w:rPr>
          <w:rStyle w:val="Appelnotedebasdep"/>
          <w:rFonts w:asciiTheme="minorHAnsi" w:hAnsiTheme="minorHAnsi" w:cstheme="minorHAnsi"/>
          <w:bCs/>
          <w:iCs/>
        </w:rPr>
        <w:footnoteReference w:id="10"/>
      </w:r>
      <w:r w:rsidR="00FD07AE" w:rsidRPr="00883E0C">
        <w:rPr>
          <w:rFonts w:asciiTheme="minorHAnsi" w:hAnsiTheme="minorHAnsi" w:cstheme="minorHAnsi"/>
          <w:bCs/>
          <w:iCs/>
        </w:rPr>
        <w:t xml:space="preserve">. </w:t>
      </w:r>
      <w:r w:rsidRPr="00883E0C">
        <w:rPr>
          <w:rFonts w:asciiTheme="minorHAnsi" w:hAnsiTheme="minorHAnsi" w:cstheme="minorHAnsi"/>
          <w:bCs/>
          <w:iCs/>
        </w:rPr>
        <w:t>L'</w:t>
      </w:r>
      <w:hyperlink r:id="rId27" w:history="1">
        <w:r w:rsidRPr="00883E0C">
          <w:rPr>
            <w:rStyle w:val="Lienhypertexte"/>
            <w:rFonts w:asciiTheme="minorHAnsi" w:hAnsiTheme="minorHAnsi" w:cstheme="minorHAnsi"/>
            <w:bCs/>
            <w:iCs/>
          </w:rPr>
          <w:t xml:space="preserve">Agenda 2030 pour le développement durable </w:t>
        </w:r>
      </w:hyperlink>
      <w:r w:rsidR="00701469" w:rsidRPr="00883E0C">
        <w:rPr>
          <w:rFonts w:asciiTheme="minorHAnsi" w:hAnsiTheme="minorHAnsi" w:cstheme="minorHAnsi"/>
          <w:bCs/>
          <w:iCs/>
        </w:rPr>
        <w:t xml:space="preserve">appelle </w:t>
      </w:r>
      <w:r w:rsidRPr="00883E0C">
        <w:rPr>
          <w:rFonts w:asciiTheme="minorHAnsi" w:hAnsiTheme="minorHAnsi" w:cstheme="minorHAnsi"/>
          <w:bCs/>
          <w:iCs/>
        </w:rPr>
        <w:t xml:space="preserve">également </w:t>
      </w:r>
      <w:r w:rsidR="00701469" w:rsidRPr="00883E0C">
        <w:rPr>
          <w:rFonts w:asciiTheme="minorHAnsi" w:hAnsiTheme="minorHAnsi" w:cstheme="minorHAnsi"/>
          <w:bCs/>
          <w:iCs/>
        </w:rPr>
        <w:t>à l'élimination de "</w:t>
      </w:r>
      <w:r w:rsidRPr="00883E0C">
        <w:rPr>
          <w:rFonts w:asciiTheme="minorHAnsi" w:hAnsiTheme="minorHAnsi" w:cstheme="minorHAnsi"/>
          <w:bCs/>
          <w:iCs/>
        </w:rPr>
        <w:t xml:space="preserve">toutes les formes de violence à l'égard de toutes les femmes et de toutes les filles dans les </w:t>
      </w:r>
      <w:r w:rsidR="00EB7F0C" w:rsidRPr="00883E0C">
        <w:rPr>
          <w:rFonts w:asciiTheme="minorHAnsi" w:hAnsiTheme="minorHAnsi" w:cstheme="minorHAnsi"/>
          <w:bCs/>
          <w:iCs/>
        </w:rPr>
        <w:t xml:space="preserve">sphères </w:t>
      </w:r>
      <w:r w:rsidRPr="00883E0C">
        <w:rPr>
          <w:rFonts w:asciiTheme="minorHAnsi" w:hAnsiTheme="minorHAnsi" w:cstheme="minorHAnsi"/>
          <w:bCs/>
          <w:iCs/>
        </w:rPr>
        <w:t xml:space="preserve">publiques et </w:t>
      </w:r>
      <w:r w:rsidR="00EB7F0C" w:rsidRPr="00883E0C">
        <w:rPr>
          <w:rFonts w:asciiTheme="minorHAnsi" w:hAnsiTheme="minorHAnsi" w:cstheme="minorHAnsi"/>
          <w:bCs/>
          <w:iCs/>
        </w:rPr>
        <w:t xml:space="preserve">privées" </w:t>
      </w:r>
      <w:hyperlink r:id="rId28" w:anchor="policy" w:history="1">
        <w:r w:rsidR="00F21F97" w:rsidRPr="00883E0C">
          <w:rPr>
            <w:rStyle w:val="Lienhypertexte"/>
            <w:rFonts w:asciiTheme="minorHAnsi" w:hAnsiTheme="minorHAnsi" w:cstheme="minorHAnsi"/>
            <w:bCs/>
            <w:iCs/>
          </w:rPr>
          <w:t>et</w:t>
        </w:r>
        <w:r w:rsidR="00C75B8E" w:rsidRPr="00883E0C">
          <w:rPr>
            <w:rStyle w:val="Lienhypertexte"/>
            <w:rFonts w:asciiTheme="minorHAnsi" w:hAnsiTheme="minorHAnsi" w:cstheme="minorHAnsi"/>
            <w:bCs/>
            <w:iCs/>
          </w:rPr>
          <w:t>fait en sorte que l'ODD 5 inclue</w:t>
        </w:r>
        <w:r w:rsidR="00F21F97" w:rsidRPr="00883E0C">
          <w:rPr>
            <w:rStyle w:val="Lienhypertexte"/>
            <w:rFonts w:asciiTheme="minorHAnsi" w:hAnsiTheme="minorHAnsi" w:cstheme="minorHAnsi"/>
            <w:bCs/>
            <w:iCs/>
          </w:rPr>
          <w:t>les femmes et les filles handicapées</w:t>
        </w:r>
      </w:hyperlink>
      <w:r w:rsidR="00F21F97" w:rsidRPr="00883E0C">
        <w:rPr>
          <w:rStyle w:val="Appelnotedebasdep"/>
          <w:rFonts w:asciiTheme="minorHAnsi" w:hAnsiTheme="minorHAnsi" w:cstheme="minorHAnsi"/>
          <w:bCs/>
          <w:iCs/>
        </w:rPr>
        <w:footnoteReference w:id="11"/>
      </w:r>
      <w:r w:rsidR="00EB7F0C" w:rsidRPr="00883E0C">
        <w:rPr>
          <w:rFonts w:asciiTheme="minorHAnsi" w:hAnsiTheme="minorHAnsi" w:cstheme="minorHAnsi"/>
          <w:bCs/>
          <w:iCs/>
        </w:rPr>
        <w:t xml:space="preserve">. </w:t>
      </w:r>
    </w:p>
    <w:p w:rsidR="001C7909" w:rsidRPr="00883E0C" w:rsidRDefault="001C7909" w:rsidP="00602BB2">
      <w:pPr>
        <w:jc w:val="both"/>
        <w:rPr>
          <w:rFonts w:asciiTheme="minorHAnsi" w:hAnsiTheme="minorHAnsi" w:cstheme="minorHAnsi"/>
          <w:bCs/>
          <w:iCs/>
        </w:rPr>
      </w:pPr>
    </w:p>
    <w:p w:rsidR="00D766B5" w:rsidRDefault="001F6D4B">
      <w:pPr>
        <w:jc w:val="both"/>
        <w:rPr>
          <w:rFonts w:asciiTheme="minorHAnsi" w:hAnsiTheme="minorHAnsi" w:cstheme="minorHAnsi"/>
          <w:bCs/>
          <w:iCs/>
        </w:rPr>
      </w:pPr>
      <w:r w:rsidRPr="00883E0C">
        <w:rPr>
          <w:rFonts w:asciiTheme="minorHAnsi" w:hAnsiTheme="minorHAnsi" w:cstheme="minorHAnsi"/>
        </w:rPr>
        <w:t>L'interdiction de la violence sexiste à l'égard des femmes est devenue un principe du droit international coutumier</w:t>
      </w:r>
      <w:r w:rsidR="005C3B43" w:rsidRPr="00883E0C">
        <w:rPr>
          <w:rStyle w:val="Appelnotedebasdep"/>
          <w:rFonts w:asciiTheme="minorHAnsi" w:hAnsiTheme="minorHAnsi" w:cstheme="minorHAnsi"/>
        </w:rPr>
        <w:footnoteReference w:id="12"/>
      </w:r>
      <w:r w:rsidRPr="00883E0C">
        <w:rPr>
          <w:rFonts w:asciiTheme="minorHAnsi" w:hAnsiTheme="minorHAnsi" w:cstheme="minorHAnsi"/>
        </w:rPr>
        <w:t xml:space="preserve">. </w:t>
      </w:r>
      <w:r w:rsidR="001C7909" w:rsidRPr="00883E0C">
        <w:rPr>
          <w:rFonts w:asciiTheme="minorHAnsi" w:hAnsiTheme="minorHAnsi" w:cstheme="minorHAnsi"/>
          <w:bCs/>
          <w:iCs/>
        </w:rPr>
        <w:t xml:space="preserve">Alors que le cadre international </w:t>
      </w:r>
      <w:r w:rsidRPr="00883E0C">
        <w:rPr>
          <w:rFonts w:asciiTheme="minorHAnsi" w:hAnsiTheme="minorHAnsi" w:cstheme="minorHAnsi"/>
          <w:bCs/>
          <w:iCs/>
        </w:rPr>
        <w:t>s'est développé</w:t>
      </w:r>
      <w:r w:rsidR="001C7909" w:rsidRPr="00883E0C">
        <w:rPr>
          <w:rFonts w:asciiTheme="minorHAnsi" w:hAnsiTheme="minorHAnsi" w:cstheme="minorHAnsi"/>
          <w:bCs/>
          <w:iCs/>
        </w:rPr>
        <w:t xml:space="preserve">, de nombreuses formes de violence sexiste à l'encontre des femmes </w:t>
      </w:r>
      <w:r w:rsidRPr="00883E0C">
        <w:rPr>
          <w:rFonts w:asciiTheme="minorHAnsi" w:hAnsiTheme="minorHAnsi" w:cstheme="minorHAnsi"/>
          <w:bCs/>
          <w:iCs/>
        </w:rPr>
        <w:t xml:space="preserve">et des filles handicapées </w:t>
      </w:r>
      <w:r w:rsidR="001C7909" w:rsidRPr="00883E0C">
        <w:rPr>
          <w:rFonts w:asciiTheme="minorHAnsi" w:hAnsiTheme="minorHAnsi" w:cstheme="minorHAnsi"/>
          <w:bCs/>
          <w:iCs/>
        </w:rPr>
        <w:t xml:space="preserve">restent </w:t>
      </w:r>
      <w:r w:rsidR="00F22D52" w:rsidRPr="00883E0C">
        <w:rPr>
          <w:rFonts w:asciiTheme="minorHAnsi" w:hAnsiTheme="minorHAnsi" w:cstheme="minorHAnsi"/>
          <w:bCs/>
          <w:iCs/>
        </w:rPr>
        <w:t>invisibles pour le public et les décideurs politiques</w:t>
      </w:r>
      <w:r w:rsidR="001C7909" w:rsidRPr="00883E0C">
        <w:rPr>
          <w:rFonts w:asciiTheme="minorHAnsi" w:hAnsiTheme="minorHAnsi" w:cstheme="minorHAnsi"/>
          <w:bCs/>
          <w:iCs/>
        </w:rPr>
        <w:t xml:space="preserve">. </w:t>
      </w:r>
    </w:p>
    <w:p w:rsidR="00C65A41" w:rsidRPr="00883E0C" w:rsidRDefault="00C65A41" w:rsidP="00C65A41">
      <w:pPr>
        <w:pStyle w:val="Paragraphedeliste"/>
        <w:jc w:val="both"/>
        <w:rPr>
          <w:rFonts w:asciiTheme="minorHAnsi" w:hAnsiTheme="minorHAnsi" w:cstheme="minorHAnsi"/>
          <w:b/>
        </w:rPr>
      </w:pPr>
    </w:p>
    <w:p w:rsidR="00D766B5" w:rsidRDefault="001F6D4B">
      <w:pPr>
        <w:pStyle w:val="Paragraphedeliste"/>
        <w:numPr>
          <w:ilvl w:val="0"/>
          <w:numId w:val="9"/>
        </w:numPr>
        <w:jc w:val="both"/>
        <w:rPr>
          <w:rFonts w:asciiTheme="minorHAnsi" w:hAnsiTheme="minorHAnsi" w:cstheme="minorHAnsi"/>
        </w:rPr>
      </w:pPr>
      <w:r w:rsidRPr="00883E0C">
        <w:rPr>
          <w:rFonts w:asciiTheme="minorHAnsi" w:hAnsiTheme="minorHAnsi" w:cstheme="minorHAnsi"/>
          <w:b/>
        </w:rPr>
        <w:t xml:space="preserve">Augmentation des </w:t>
      </w:r>
      <w:r w:rsidR="00D22E64" w:rsidRPr="00883E0C">
        <w:rPr>
          <w:rFonts w:asciiTheme="minorHAnsi" w:hAnsiTheme="minorHAnsi" w:cstheme="minorHAnsi"/>
          <w:b/>
        </w:rPr>
        <w:t xml:space="preserve">risques de violence sexiste à l'encontre des </w:t>
      </w:r>
      <w:r w:rsidR="008000FB" w:rsidRPr="00883E0C">
        <w:rPr>
          <w:rFonts w:asciiTheme="minorHAnsi" w:hAnsiTheme="minorHAnsi" w:cstheme="minorHAnsi"/>
          <w:b/>
        </w:rPr>
        <w:t>femmes et des filles handicapées</w:t>
      </w:r>
      <w:r w:rsidR="00D22E64" w:rsidRPr="00883E0C">
        <w:rPr>
          <w:rFonts w:asciiTheme="minorHAnsi" w:hAnsiTheme="minorHAnsi" w:cstheme="minorHAnsi"/>
          <w:b/>
        </w:rPr>
        <w:t xml:space="preserve">, notamment pendant la pandémie. </w:t>
      </w:r>
    </w:p>
    <w:p w:rsidR="00540EDD" w:rsidRPr="00883E0C" w:rsidRDefault="00540EDD" w:rsidP="00B64905">
      <w:pPr>
        <w:jc w:val="both"/>
        <w:rPr>
          <w:rFonts w:asciiTheme="minorHAnsi" w:hAnsiTheme="minorHAnsi" w:cstheme="minorHAnsi"/>
          <w:i/>
        </w:rPr>
      </w:pPr>
    </w:p>
    <w:p w:rsidR="00D766B5" w:rsidRDefault="001F6D4B">
      <w:pPr>
        <w:jc w:val="both"/>
        <w:rPr>
          <w:rFonts w:asciiTheme="minorHAnsi" w:hAnsiTheme="minorHAnsi" w:cstheme="minorHAnsi"/>
        </w:rPr>
      </w:pPr>
      <w:r w:rsidRPr="00883E0C">
        <w:rPr>
          <w:rFonts w:asciiTheme="minorHAnsi" w:hAnsiTheme="minorHAnsi" w:cstheme="minorHAnsi"/>
        </w:rPr>
        <w:t xml:space="preserve">Comme le révèlent </w:t>
      </w:r>
      <w:hyperlink r:id="rId29" w:history="1">
        <w:r w:rsidRPr="00883E0C">
          <w:rPr>
            <w:rStyle w:val="Lienhypertexte"/>
            <w:rFonts w:asciiTheme="minorHAnsi" w:hAnsiTheme="minorHAnsi" w:cstheme="minorHAnsi"/>
          </w:rPr>
          <w:t>leurs expériences et leurs témoignages</w:t>
        </w:r>
      </w:hyperlink>
      <w:r w:rsidRPr="00883E0C">
        <w:rPr>
          <w:rFonts w:asciiTheme="minorHAnsi" w:hAnsiTheme="minorHAnsi" w:cstheme="minorHAnsi"/>
        </w:rPr>
        <w:t>, les femmes et les filles handicapées, qui représentent près d'un cinquième de la population fémi</w:t>
      </w:r>
      <w:r w:rsidRPr="00883E0C">
        <w:rPr>
          <w:rFonts w:asciiTheme="minorHAnsi" w:hAnsiTheme="minorHAnsi" w:cstheme="minorHAnsi"/>
        </w:rPr>
        <w:t xml:space="preserve">nine mondiale, sont au moins deux à trois fois plus susceptibles que les </w:t>
      </w:r>
      <w:r w:rsidR="00CA3578" w:rsidRPr="00883E0C">
        <w:rPr>
          <w:rFonts w:asciiTheme="minorHAnsi" w:hAnsiTheme="minorHAnsi" w:cstheme="minorHAnsi"/>
        </w:rPr>
        <w:t xml:space="preserve">autres </w:t>
      </w:r>
      <w:r w:rsidRPr="00883E0C">
        <w:rPr>
          <w:rFonts w:asciiTheme="minorHAnsi" w:hAnsiTheme="minorHAnsi" w:cstheme="minorHAnsi"/>
        </w:rPr>
        <w:t xml:space="preserve">femmes de subir des violences sexistes dans les sphères privée et publique, notamment à leur domicile et dans le cadre familial, à l'école, en milieu psychiatrique, dans </w:t>
      </w:r>
      <w:r w:rsidRPr="00883E0C">
        <w:rPr>
          <w:rFonts w:asciiTheme="minorHAnsi" w:hAnsiTheme="minorHAnsi" w:cstheme="minorHAnsi"/>
          <w:bCs/>
          <w:iCs/>
          <w:lang w:val="en-US"/>
        </w:rPr>
        <w:t>des ét</w:t>
      </w:r>
      <w:r w:rsidRPr="00883E0C">
        <w:rPr>
          <w:rFonts w:asciiTheme="minorHAnsi" w:hAnsiTheme="minorHAnsi" w:cstheme="minorHAnsi"/>
          <w:bCs/>
          <w:iCs/>
          <w:lang w:val="en-US"/>
        </w:rPr>
        <w:t xml:space="preserve">ablissements ou </w:t>
      </w:r>
      <w:r w:rsidRPr="00883E0C">
        <w:rPr>
          <w:rFonts w:asciiTheme="minorHAnsi" w:hAnsiTheme="minorHAnsi" w:cstheme="minorHAnsi"/>
        </w:rPr>
        <w:t xml:space="preserve">institutions </w:t>
      </w:r>
      <w:r w:rsidRPr="00883E0C">
        <w:rPr>
          <w:rFonts w:asciiTheme="minorHAnsi" w:hAnsiTheme="minorHAnsi" w:cstheme="minorHAnsi"/>
          <w:bCs/>
          <w:iCs/>
          <w:lang w:val="en-US"/>
        </w:rPr>
        <w:t xml:space="preserve">résidentiels, ainsi qu'en </w:t>
      </w:r>
      <w:r w:rsidRPr="00883E0C">
        <w:rPr>
          <w:rFonts w:asciiTheme="minorHAnsi" w:hAnsiTheme="minorHAnsi" w:cstheme="minorHAnsi"/>
        </w:rPr>
        <w:t xml:space="preserve">ligne et dans des situations d'urgence. Bien qu'elles subissent les mêmes formes de violence sexiste que les femmes et les filles non handicapées, elles </w:t>
      </w:r>
      <w:r w:rsidR="004001D5" w:rsidRPr="00883E0C">
        <w:rPr>
          <w:rFonts w:asciiTheme="minorHAnsi" w:hAnsiTheme="minorHAnsi" w:cstheme="minorHAnsi"/>
        </w:rPr>
        <w:t>continuent d'</w:t>
      </w:r>
      <w:r w:rsidRPr="00883E0C">
        <w:rPr>
          <w:rFonts w:asciiTheme="minorHAnsi" w:hAnsiTheme="minorHAnsi" w:cstheme="minorHAnsi"/>
        </w:rPr>
        <w:t>être soumises à des formes spécifiq</w:t>
      </w:r>
      <w:r w:rsidRPr="00883E0C">
        <w:rPr>
          <w:rFonts w:asciiTheme="minorHAnsi" w:hAnsiTheme="minorHAnsi" w:cstheme="minorHAnsi"/>
        </w:rPr>
        <w:t>ues et uniques de violence sexiste en raison de leur sexe et de leur handicap, notamment des formes institutionnelles et structurelles de violence, telles que le traitement forcé, le déni de la capacité juridique et décisionnelle, et les violations des dro</w:t>
      </w:r>
      <w:r w:rsidRPr="00883E0C">
        <w:rPr>
          <w:rFonts w:asciiTheme="minorHAnsi" w:hAnsiTheme="minorHAnsi" w:cstheme="minorHAnsi"/>
        </w:rPr>
        <w:t xml:space="preserve">its sexuels et reproductifs. </w:t>
      </w:r>
      <w:r w:rsidRPr="00883E0C">
        <w:rPr>
          <w:rStyle w:val="Appelnotedebasdep"/>
          <w:rFonts w:asciiTheme="minorHAnsi" w:hAnsiTheme="minorHAnsi" w:cstheme="minorHAnsi"/>
        </w:rPr>
        <w:footnoteReference w:id="13"/>
      </w:r>
    </w:p>
    <w:p w:rsidR="00B64905" w:rsidRPr="00883E0C" w:rsidRDefault="00B64905" w:rsidP="00B64905">
      <w:pPr>
        <w:jc w:val="both"/>
        <w:rPr>
          <w:rFonts w:asciiTheme="minorHAnsi" w:hAnsiTheme="minorHAnsi" w:cstheme="minorHAnsi"/>
        </w:rPr>
      </w:pPr>
    </w:p>
    <w:p w:rsidR="00D766B5" w:rsidRDefault="00542146">
      <w:pPr>
        <w:jc w:val="both"/>
        <w:rPr>
          <w:rFonts w:asciiTheme="minorHAnsi" w:hAnsiTheme="minorHAnsi" w:cstheme="minorHAnsi"/>
        </w:rPr>
      </w:pPr>
      <w:r w:rsidRPr="00883E0C">
        <w:rPr>
          <w:rFonts w:asciiTheme="minorHAnsi" w:hAnsiTheme="minorHAnsi" w:cstheme="minorHAnsi"/>
        </w:rPr>
        <w:t xml:space="preserve">Les </w:t>
      </w:r>
      <w:r w:rsidR="00443D0D" w:rsidRPr="00883E0C">
        <w:rPr>
          <w:rFonts w:asciiTheme="minorHAnsi" w:hAnsiTheme="minorHAnsi" w:cstheme="minorHAnsi"/>
        </w:rPr>
        <w:t xml:space="preserve">stéréotypes nuisibles et la stigmatisation </w:t>
      </w:r>
      <w:r w:rsidR="001F33A4" w:rsidRPr="00883E0C">
        <w:rPr>
          <w:rFonts w:asciiTheme="minorHAnsi" w:hAnsiTheme="minorHAnsi" w:cstheme="minorHAnsi"/>
        </w:rPr>
        <w:t xml:space="preserve">des femmes et des filles handicapées </w:t>
      </w:r>
      <w:r w:rsidR="00443D0D" w:rsidRPr="00883E0C">
        <w:rPr>
          <w:rFonts w:asciiTheme="minorHAnsi" w:hAnsiTheme="minorHAnsi" w:cstheme="minorHAnsi"/>
        </w:rPr>
        <w:t xml:space="preserve">augmentent le risque de subir des violences, car les femmes et les filles handicapées sont </w:t>
      </w:r>
      <w:r w:rsidR="00D30EB3" w:rsidRPr="00883E0C">
        <w:rPr>
          <w:rFonts w:asciiTheme="minorHAnsi" w:hAnsiTheme="minorHAnsi" w:cstheme="minorHAnsi"/>
        </w:rPr>
        <w:t>décrédibilisées et considérées comme incapables de porter des jugements et de prendre des décisions</w:t>
      </w:r>
      <w:r w:rsidR="00443D0D" w:rsidRPr="00883E0C">
        <w:rPr>
          <w:rFonts w:asciiTheme="minorHAnsi" w:hAnsiTheme="minorHAnsi" w:cstheme="minorHAnsi"/>
        </w:rPr>
        <w:t xml:space="preserve">. Le </w:t>
      </w:r>
      <w:r w:rsidR="0044428F" w:rsidRPr="00883E0C">
        <w:rPr>
          <w:rFonts w:asciiTheme="minorHAnsi" w:hAnsiTheme="minorHAnsi" w:cstheme="minorHAnsi"/>
        </w:rPr>
        <w:t xml:space="preserve">manque d'accès des femmes et des filles handicapées à une </w:t>
      </w:r>
      <w:r w:rsidR="00563A53" w:rsidRPr="00883E0C">
        <w:rPr>
          <w:rFonts w:asciiTheme="minorHAnsi" w:hAnsiTheme="minorHAnsi" w:cstheme="minorHAnsi"/>
        </w:rPr>
        <w:t xml:space="preserve">éducation de qualité </w:t>
      </w:r>
      <w:r w:rsidR="0044428F" w:rsidRPr="00883E0C">
        <w:rPr>
          <w:rFonts w:asciiTheme="minorHAnsi" w:hAnsiTheme="minorHAnsi" w:cstheme="minorHAnsi"/>
        </w:rPr>
        <w:t xml:space="preserve">et </w:t>
      </w:r>
      <w:r w:rsidR="00563A53" w:rsidRPr="00883E0C">
        <w:rPr>
          <w:rFonts w:asciiTheme="minorHAnsi" w:hAnsiTheme="minorHAnsi" w:cstheme="minorHAnsi"/>
        </w:rPr>
        <w:t xml:space="preserve">inclusive renforce les stéréotypes </w:t>
      </w:r>
      <w:r w:rsidR="0044428F" w:rsidRPr="00883E0C">
        <w:rPr>
          <w:rFonts w:asciiTheme="minorHAnsi" w:hAnsiTheme="minorHAnsi" w:cstheme="minorHAnsi"/>
        </w:rPr>
        <w:t>et limite le contrôle de leur santé et de leurs décisions en matière de sexualité et de procréation</w:t>
      </w:r>
      <w:r w:rsidR="0044428F" w:rsidRPr="00883E0C">
        <w:rPr>
          <w:rStyle w:val="Appelnotedebasdep"/>
          <w:rFonts w:asciiTheme="minorHAnsi" w:hAnsiTheme="minorHAnsi" w:cstheme="minorHAnsi"/>
        </w:rPr>
        <w:footnoteReference w:id="14"/>
      </w:r>
      <w:r w:rsidR="0044428F" w:rsidRPr="00883E0C">
        <w:rPr>
          <w:rFonts w:asciiTheme="minorHAnsi" w:hAnsiTheme="minorHAnsi" w:cstheme="minorHAnsi"/>
        </w:rPr>
        <w:t xml:space="preserve">, ce qui accroît les risques de violence, notamment sexuelle, et d'abus à leur encontre. </w:t>
      </w:r>
      <w:r w:rsidRPr="00883E0C">
        <w:rPr>
          <w:rFonts w:asciiTheme="minorHAnsi" w:hAnsiTheme="minorHAnsi" w:cstheme="minorHAnsi"/>
        </w:rPr>
        <w:t xml:space="preserve">Les femmes et les filles autochtones handicapées et celles qui vivent dans des zones reculées et rurales sont souvent victimes de formes croisées de discrimination </w:t>
      </w:r>
      <w:r w:rsidR="00016DAF" w:rsidRPr="00883E0C">
        <w:rPr>
          <w:rFonts w:asciiTheme="minorHAnsi" w:hAnsiTheme="minorHAnsi" w:cstheme="minorHAnsi"/>
        </w:rPr>
        <w:t>liées au sexe, à l'origine ethnique et au handicap</w:t>
      </w:r>
      <w:r w:rsidRPr="00883E0C">
        <w:rPr>
          <w:rFonts w:asciiTheme="minorHAnsi" w:hAnsiTheme="minorHAnsi" w:cstheme="minorHAnsi"/>
        </w:rPr>
        <w:t xml:space="preserve">, </w:t>
      </w:r>
      <w:r w:rsidR="001425B2" w:rsidRPr="00883E0C">
        <w:rPr>
          <w:rFonts w:asciiTheme="minorHAnsi" w:hAnsiTheme="minorHAnsi" w:cstheme="minorHAnsi"/>
        </w:rPr>
        <w:t xml:space="preserve">notamment </w:t>
      </w:r>
      <w:r w:rsidR="00016DAF" w:rsidRPr="00883E0C">
        <w:rPr>
          <w:rFonts w:asciiTheme="minorHAnsi" w:hAnsiTheme="minorHAnsi" w:cstheme="minorHAnsi"/>
        </w:rPr>
        <w:t xml:space="preserve">en </w:t>
      </w:r>
      <w:r w:rsidR="001425B2" w:rsidRPr="00883E0C">
        <w:rPr>
          <w:rFonts w:asciiTheme="minorHAnsi" w:hAnsiTheme="minorHAnsi" w:cstheme="minorHAnsi"/>
        </w:rPr>
        <w:t>l'</w:t>
      </w:r>
      <w:r w:rsidR="00016DAF" w:rsidRPr="00883E0C">
        <w:rPr>
          <w:rFonts w:asciiTheme="minorHAnsi" w:hAnsiTheme="minorHAnsi" w:cstheme="minorHAnsi"/>
        </w:rPr>
        <w:t xml:space="preserve">absence de </w:t>
      </w:r>
      <w:r w:rsidR="00F643BC" w:rsidRPr="00883E0C">
        <w:rPr>
          <w:rFonts w:asciiTheme="minorHAnsi" w:hAnsiTheme="minorHAnsi" w:cstheme="minorHAnsi"/>
        </w:rPr>
        <w:t>sensibilisation du public et de stratégies visant à prévenir et à combattre les risques particuliers de violence dont elles sont victimes.</w:t>
      </w:r>
      <w:r w:rsidR="005215EC" w:rsidRPr="00883E0C">
        <w:rPr>
          <w:rFonts w:asciiTheme="minorHAnsi" w:hAnsiTheme="minorHAnsi" w:cstheme="minorHAnsi"/>
        </w:rPr>
        <w:t xml:space="preserve"> Les femmes âgées handicapées sont plus susceptibles d'être placées en institution et de faire l'objet de violences, d'abus et de négligence. </w:t>
      </w:r>
    </w:p>
    <w:p w:rsidR="008B5116" w:rsidRPr="00883E0C" w:rsidRDefault="008B5116" w:rsidP="007C6C3D">
      <w:pPr>
        <w:jc w:val="both"/>
        <w:rPr>
          <w:rFonts w:asciiTheme="minorHAnsi" w:hAnsiTheme="minorHAnsi" w:cstheme="minorHAnsi"/>
        </w:rPr>
      </w:pPr>
    </w:p>
    <w:p w:rsidR="00D766B5" w:rsidRDefault="00D30EB3">
      <w:pPr>
        <w:jc w:val="both"/>
        <w:rPr>
          <w:rFonts w:asciiTheme="minorHAnsi" w:hAnsiTheme="minorHAnsi" w:cstheme="minorHAnsi"/>
        </w:rPr>
      </w:pPr>
      <w:r w:rsidRPr="00883E0C">
        <w:rPr>
          <w:rFonts w:asciiTheme="minorHAnsi" w:hAnsiTheme="minorHAnsi" w:cstheme="minorHAnsi"/>
        </w:rPr>
        <w:t xml:space="preserve">Les </w:t>
      </w:r>
      <w:r w:rsidR="00097182" w:rsidRPr="00883E0C">
        <w:rPr>
          <w:rFonts w:asciiTheme="minorHAnsi" w:hAnsiTheme="minorHAnsi" w:cstheme="minorHAnsi"/>
        </w:rPr>
        <w:t xml:space="preserve">comités sont </w:t>
      </w:r>
      <w:r w:rsidR="00B76302" w:rsidRPr="00883E0C">
        <w:rPr>
          <w:rFonts w:asciiTheme="minorHAnsi" w:hAnsiTheme="minorHAnsi" w:cstheme="minorHAnsi"/>
        </w:rPr>
        <w:t xml:space="preserve">alarmés par la </w:t>
      </w:r>
      <w:r w:rsidR="001F6D4B" w:rsidRPr="00883E0C">
        <w:rPr>
          <w:rFonts w:asciiTheme="minorHAnsi" w:hAnsiTheme="minorHAnsi" w:cstheme="minorHAnsi"/>
        </w:rPr>
        <w:t xml:space="preserve">prévalence de </w:t>
      </w:r>
      <w:r w:rsidRPr="00883E0C">
        <w:rPr>
          <w:rFonts w:asciiTheme="minorHAnsi" w:hAnsiTheme="minorHAnsi" w:cstheme="minorHAnsi"/>
        </w:rPr>
        <w:t xml:space="preserve">différentes formes de violence sexiste à l'encontre des femmes et des filles </w:t>
      </w:r>
      <w:r w:rsidR="005215EC" w:rsidRPr="00883E0C">
        <w:rPr>
          <w:rFonts w:asciiTheme="minorHAnsi" w:hAnsiTheme="minorHAnsi" w:cstheme="minorHAnsi"/>
        </w:rPr>
        <w:t xml:space="preserve">handicapées </w:t>
      </w:r>
      <w:r w:rsidR="001425B2" w:rsidRPr="00883E0C">
        <w:rPr>
          <w:rFonts w:asciiTheme="minorHAnsi" w:hAnsiTheme="minorHAnsi" w:cstheme="minorHAnsi"/>
        </w:rPr>
        <w:t>:</w:t>
      </w:r>
    </w:p>
    <w:p w:rsidR="00097182" w:rsidRPr="00883E0C" w:rsidRDefault="00097182" w:rsidP="004928A6">
      <w:pPr>
        <w:jc w:val="both"/>
        <w:rPr>
          <w:rFonts w:asciiTheme="minorHAnsi" w:hAnsiTheme="minorHAnsi" w:cstheme="minorHAnsi"/>
        </w:rPr>
      </w:pPr>
    </w:p>
    <w:p w:rsidR="00D766B5" w:rsidRDefault="00542091">
      <w:pPr>
        <w:pStyle w:val="Paragraphedeliste"/>
        <w:numPr>
          <w:ilvl w:val="0"/>
          <w:numId w:val="14"/>
        </w:numPr>
        <w:jc w:val="both"/>
        <w:rPr>
          <w:rFonts w:asciiTheme="minorHAnsi" w:hAnsiTheme="minorHAnsi" w:cstheme="minorHAnsi"/>
        </w:rPr>
      </w:pPr>
      <w:r w:rsidRPr="00883E0C">
        <w:rPr>
          <w:rFonts w:asciiTheme="minorHAnsi" w:hAnsiTheme="minorHAnsi" w:cstheme="minorHAnsi"/>
        </w:rPr>
        <w:t xml:space="preserve">Le </w:t>
      </w:r>
      <w:r w:rsidR="001F6D4B" w:rsidRPr="00883E0C">
        <w:rPr>
          <w:rFonts w:asciiTheme="minorHAnsi" w:hAnsiTheme="minorHAnsi" w:cstheme="minorHAnsi"/>
        </w:rPr>
        <w:t xml:space="preserve">viol </w:t>
      </w:r>
      <w:r w:rsidRPr="00883E0C">
        <w:rPr>
          <w:rFonts w:asciiTheme="minorHAnsi" w:hAnsiTheme="minorHAnsi" w:cstheme="minorHAnsi"/>
        </w:rPr>
        <w:t xml:space="preserve">et les abus sexuels </w:t>
      </w:r>
      <w:r w:rsidR="00D00B41" w:rsidRPr="00883E0C">
        <w:rPr>
          <w:rFonts w:asciiTheme="minorHAnsi" w:hAnsiTheme="minorHAnsi" w:cstheme="minorHAnsi"/>
        </w:rPr>
        <w:t>dans différents contextes</w:t>
      </w:r>
      <w:r w:rsidRPr="00883E0C">
        <w:rPr>
          <w:rFonts w:asciiTheme="minorHAnsi" w:hAnsiTheme="minorHAnsi" w:cstheme="minorHAnsi"/>
        </w:rPr>
        <w:t xml:space="preserve">, au sein d'institutions étatiques et non étatiques et au sein de la famille ou de la communauté ; </w:t>
      </w:r>
    </w:p>
    <w:p w:rsidR="00D766B5" w:rsidRDefault="00542091">
      <w:pPr>
        <w:pStyle w:val="Paragraphedeliste"/>
        <w:numPr>
          <w:ilvl w:val="0"/>
          <w:numId w:val="14"/>
        </w:numPr>
        <w:jc w:val="both"/>
        <w:rPr>
          <w:rFonts w:asciiTheme="minorHAnsi" w:hAnsiTheme="minorHAnsi" w:cstheme="minorHAnsi"/>
        </w:rPr>
      </w:pPr>
      <w:r w:rsidRPr="00883E0C">
        <w:rPr>
          <w:rFonts w:asciiTheme="minorHAnsi" w:hAnsiTheme="minorHAnsi" w:cstheme="minorHAnsi"/>
        </w:rPr>
        <w:t>Grossesse forcée, contrainte ou autrement involontaire</w:t>
      </w:r>
      <w:r w:rsidR="00D00B41" w:rsidRPr="00883E0C">
        <w:rPr>
          <w:rFonts w:asciiTheme="minorHAnsi" w:hAnsiTheme="minorHAnsi" w:cstheme="minorHAnsi"/>
        </w:rPr>
        <w:t xml:space="preserve">, contraception, avortement </w:t>
      </w:r>
      <w:r w:rsidRPr="00883E0C">
        <w:rPr>
          <w:rFonts w:asciiTheme="minorHAnsi" w:hAnsiTheme="minorHAnsi" w:cstheme="minorHAnsi"/>
        </w:rPr>
        <w:t xml:space="preserve">ou stérilisation </w:t>
      </w:r>
      <w:r w:rsidR="001F6D4B" w:rsidRPr="00883E0C">
        <w:rPr>
          <w:rFonts w:asciiTheme="minorHAnsi" w:hAnsiTheme="minorHAnsi" w:cstheme="minorHAnsi"/>
        </w:rPr>
        <w:t xml:space="preserve">et </w:t>
      </w:r>
      <w:r w:rsidR="00F1222D" w:rsidRPr="00883E0C">
        <w:rPr>
          <w:rFonts w:asciiTheme="minorHAnsi" w:hAnsiTheme="minorHAnsi" w:cstheme="minorHAnsi"/>
        </w:rPr>
        <w:t xml:space="preserve">procédures </w:t>
      </w:r>
      <w:r w:rsidRPr="00883E0C">
        <w:rPr>
          <w:rFonts w:asciiTheme="minorHAnsi" w:hAnsiTheme="minorHAnsi" w:cstheme="minorHAnsi"/>
        </w:rPr>
        <w:t xml:space="preserve">ou </w:t>
      </w:r>
      <w:r w:rsidR="00F1222D" w:rsidRPr="00883E0C">
        <w:rPr>
          <w:rFonts w:asciiTheme="minorHAnsi" w:hAnsiTheme="minorHAnsi" w:cstheme="minorHAnsi"/>
        </w:rPr>
        <w:t xml:space="preserve">interventions </w:t>
      </w:r>
      <w:r w:rsidRPr="00883E0C">
        <w:rPr>
          <w:rFonts w:asciiTheme="minorHAnsi" w:hAnsiTheme="minorHAnsi" w:cstheme="minorHAnsi"/>
        </w:rPr>
        <w:t xml:space="preserve">médicales effectuées sans le consentement libre et éclairé ; </w:t>
      </w:r>
    </w:p>
    <w:p w:rsidR="00D766B5" w:rsidRDefault="00542091">
      <w:pPr>
        <w:pStyle w:val="Paragraphedeliste"/>
        <w:numPr>
          <w:ilvl w:val="0"/>
          <w:numId w:val="14"/>
        </w:numPr>
        <w:jc w:val="both"/>
        <w:rPr>
          <w:rFonts w:asciiTheme="minorHAnsi" w:hAnsiTheme="minorHAnsi" w:cstheme="minorHAnsi"/>
        </w:rPr>
      </w:pPr>
      <w:r w:rsidRPr="00883E0C">
        <w:rPr>
          <w:rFonts w:asciiTheme="minorHAnsi" w:hAnsiTheme="minorHAnsi" w:cstheme="minorHAnsi"/>
        </w:rPr>
        <w:lastRenderedPageBreak/>
        <w:t xml:space="preserve">Pratiques chirurgicales invasives et irréversibles telles que la psychochirurgie, les mutilations génitales féminines ; </w:t>
      </w:r>
    </w:p>
    <w:p w:rsidR="00D766B5" w:rsidRDefault="00443D0D">
      <w:pPr>
        <w:pStyle w:val="Paragraphedeliste"/>
        <w:numPr>
          <w:ilvl w:val="0"/>
          <w:numId w:val="14"/>
        </w:numPr>
        <w:jc w:val="both"/>
        <w:rPr>
          <w:rFonts w:asciiTheme="minorHAnsi" w:hAnsiTheme="minorHAnsi" w:cstheme="minorHAnsi"/>
        </w:rPr>
      </w:pPr>
      <w:r w:rsidRPr="00883E0C">
        <w:rPr>
          <w:rFonts w:asciiTheme="minorHAnsi" w:hAnsiTheme="minorHAnsi" w:cstheme="minorHAnsi"/>
        </w:rPr>
        <w:t xml:space="preserve">Abandon </w:t>
      </w:r>
      <w:r w:rsidR="00D00B41" w:rsidRPr="00883E0C">
        <w:rPr>
          <w:rFonts w:asciiTheme="minorHAnsi" w:hAnsiTheme="minorHAnsi" w:cstheme="minorHAnsi"/>
        </w:rPr>
        <w:t xml:space="preserve">et </w:t>
      </w:r>
      <w:r w:rsidR="001F6D4B" w:rsidRPr="00883E0C">
        <w:rPr>
          <w:rFonts w:asciiTheme="minorHAnsi" w:hAnsiTheme="minorHAnsi" w:cstheme="minorHAnsi"/>
        </w:rPr>
        <w:t xml:space="preserve">négligence ; </w:t>
      </w:r>
    </w:p>
    <w:p w:rsidR="00D766B5" w:rsidRDefault="00443D0D">
      <w:pPr>
        <w:pStyle w:val="Paragraphedeliste"/>
        <w:numPr>
          <w:ilvl w:val="0"/>
          <w:numId w:val="14"/>
        </w:numPr>
        <w:jc w:val="both"/>
        <w:rPr>
          <w:rFonts w:asciiTheme="minorHAnsi" w:hAnsiTheme="minorHAnsi" w:cstheme="minorHAnsi"/>
        </w:rPr>
      </w:pPr>
      <w:r w:rsidRPr="00883E0C">
        <w:rPr>
          <w:rFonts w:asciiTheme="minorHAnsi" w:hAnsiTheme="minorHAnsi" w:cstheme="minorHAnsi"/>
        </w:rPr>
        <w:t xml:space="preserve">Le retrait ou le contrôle des aides à la communication et le refus d'aider à communiquer ; </w:t>
      </w:r>
    </w:p>
    <w:p w:rsidR="00D766B5" w:rsidRDefault="00443D0D">
      <w:pPr>
        <w:pStyle w:val="Paragraphedeliste"/>
        <w:numPr>
          <w:ilvl w:val="0"/>
          <w:numId w:val="14"/>
        </w:numPr>
        <w:jc w:val="both"/>
        <w:rPr>
          <w:rFonts w:asciiTheme="minorHAnsi" w:hAnsiTheme="minorHAnsi" w:cstheme="minorHAnsi"/>
        </w:rPr>
      </w:pPr>
      <w:r w:rsidRPr="00883E0C">
        <w:rPr>
          <w:rFonts w:asciiTheme="minorHAnsi" w:hAnsiTheme="minorHAnsi" w:cstheme="minorHAnsi"/>
        </w:rPr>
        <w:t>Le refus de la mobilité personnelle et de l'accessibilité ;</w:t>
      </w:r>
    </w:p>
    <w:p w:rsidR="00D766B5" w:rsidRDefault="00443D0D">
      <w:pPr>
        <w:pStyle w:val="Paragraphedeliste"/>
        <w:numPr>
          <w:ilvl w:val="0"/>
          <w:numId w:val="14"/>
        </w:numPr>
        <w:jc w:val="both"/>
        <w:rPr>
          <w:rFonts w:asciiTheme="minorHAnsi" w:hAnsiTheme="minorHAnsi" w:cstheme="minorHAnsi"/>
        </w:rPr>
      </w:pPr>
      <w:r w:rsidRPr="00883E0C">
        <w:rPr>
          <w:rFonts w:asciiTheme="minorHAnsi" w:hAnsiTheme="minorHAnsi" w:cstheme="minorHAnsi"/>
        </w:rPr>
        <w:t xml:space="preserve">Le fait d'infliger la peur par l'intimidation au moyen de brimades, d'abus verbaux et de moqueries fondés sur le </w:t>
      </w:r>
      <w:r w:rsidR="00F1222D" w:rsidRPr="00883E0C">
        <w:rPr>
          <w:rFonts w:asciiTheme="minorHAnsi" w:hAnsiTheme="minorHAnsi" w:cstheme="minorHAnsi"/>
        </w:rPr>
        <w:t xml:space="preserve">sexe et le </w:t>
      </w:r>
      <w:r w:rsidRPr="00883E0C">
        <w:rPr>
          <w:rFonts w:asciiTheme="minorHAnsi" w:hAnsiTheme="minorHAnsi" w:cstheme="minorHAnsi"/>
        </w:rPr>
        <w:t xml:space="preserve">handicap ; les </w:t>
      </w:r>
      <w:r w:rsidR="00D00B41" w:rsidRPr="00883E0C">
        <w:rPr>
          <w:rFonts w:asciiTheme="minorHAnsi" w:hAnsiTheme="minorHAnsi" w:cstheme="minorHAnsi"/>
        </w:rPr>
        <w:t xml:space="preserve">menaces </w:t>
      </w:r>
      <w:r w:rsidRPr="00883E0C">
        <w:rPr>
          <w:rFonts w:asciiTheme="minorHAnsi" w:hAnsiTheme="minorHAnsi" w:cstheme="minorHAnsi"/>
        </w:rPr>
        <w:t xml:space="preserve">; la manipulation psychologique ; et l'exercice d'un contrôle, par exemple en limitant l'accès en face à face ou virtuel à la famille, aux amis ou à d'autres personnes </w:t>
      </w:r>
      <w:r w:rsidR="00007809" w:rsidRPr="00883E0C">
        <w:rPr>
          <w:rFonts w:asciiTheme="minorHAnsi" w:hAnsiTheme="minorHAnsi" w:cstheme="minorHAnsi"/>
        </w:rPr>
        <w:t xml:space="preserve">; </w:t>
      </w:r>
    </w:p>
    <w:p w:rsidR="00D766B5" w:rsidRDefault="001F6D4B">
      <w:pPr>
        <w:pStyle w:val="Paragraphedeliste"/>
        <w:numPr>
          <w:ilvl w:val="0"/>
          <w:numId w:val="14"/>
        </w:numPr>
        <w:jc w:val="both"/>
        <w:rPr>
          <w:rFonts w:asciiTheme="minorHAnsi" w:hAnsiTheme="minorHAnsi" w:cstheme="minorHAnsi"/>
        </w:rPr>
      </w:pPr>
      <w:r w:rsidRPr="00883E0C">
        <w:rPr>
          <w:rFonts w:asciiTheme="minorHAnsi" w:hAnsiTheme="minorHAnsi" w:cstheme="minorHAnsi"/>
        </w:rPr>
        <w:t xml:space="preserve">Chirurgie ou traitement sans consentement éclairé sur les </w:t>
      </w:r>
      <w:r w:rsidR="00542091" w:rsidRPr="00883E0C">
        <w:rPr>
          <w:rFonts w:asciiTheme="minorHAnsi" w:hAnsiTheme="minorHAnsi" w:cstheme="minorHAnsi"/>
        </w:rPr>
        <w:t xml:space="preserve">femmes et les filles handicapées </w:t>
      </w:r>
      <w:r w:rsidR="005C3B43" w:rsidRPr="00883E0C">
        <w:rPr>
          <w:rFonts w:asciiTheme="minorHAnsi" w:hAnsiTheme="minorHAnsi" w:cstheme="minorHAnsi"/>
        </w:rPr>
        <w:t xml:space="preserve">et les enfants intersexués </w:t>
      </w:r>
      <w:r w:rsidR="000A7166" w:rsidRPr="00883E0C">
        <w:rPr>
          <w:rFonts w:asciiTheme="minorHAnsi" w:hAnsiTheme="minorHAnsi" w:cstheme="minorHAnsi"/>
        </w:rPr>
        <w:t>;</w:t>
      </w:r>
    </w:p>
    <w:p w:rsidR="00D766B5" w:rsidRDefault="00443D0D">
      <w:pPr>
        <w:pStyle w:val="Paragraphedeliste"/>
        <w:numPr>
          <w:ilvl w:val="0"/>
          <w:numId w:val="14"/>
        </w:numPr>
        <w:jc w:val="both"/>
        <w:rPr>
          <w:rFonts w:asciiTheme="minorHAnsi" w:hAnsiTheme="minorHAnsi" w:cstheme="minorHAnsi"/>
        </w:rPr>
      </w:pPr>
      <w:r w:rsidRPr="00883E0C">
        <w:rPr>
          <w:rFonts w:asciiTheme="minorHAnsi" w:hAnsiTheme="minorHAnsi" w:cstheme="minorHAnsi"/>
        </w:rPr>
        <w:t xml:space="preserve">L'administration d'un traitement par électrochocs et l'utilisation de moyens de contention chimiques, physiques ou mécaniques, </w:t>
      </w:r>
      <w:r w:rsidR="00542091" w:rsidRPr="00883E0C">
        <w:rPr>
          <w:rFonts w:asciiTheme="minorHAnsi" w:hAnsiTheme="minorHAnsi" w:cstheme="minorHAnsi"/>
        </w:rPr>
        <w:t xml:space="preserve">ainsi que l'isolement ou la réclusion </w:t>
      </w:r>
      <w:r w:rsidR="001F6D4B" w:rsidRPr="00883E0C">
        <w:t>;</w:t>
      </w:r>
    </w:p>
    <w:p w:rsidR="00D766B5" w:rsidRDefault="005215EC">
      <w:pPr>
        <w:pStyle w:val="Paragraphedeliste"/>
        <w:numPr>
          <w:ilvl w:val="0"/>
          <w:numId w:val="14"/>
        </w:numPr>
        <w:jc w:val="both"/>
        <w:rPr>
          <w:rFonts w:asciiTheme="minorHAnsi" w:hAnsiTheme="minorHAnsi" w:cstheme="minorHAnsi"/>
        </w:rPr>
      </w:pPr>
      <w:r w:rsidRPr="00883E0C">
        <w:rPr>
          <w:rFonts w:asciiTheme="minorHAnsi" w:hAnsiTheme="minorHAnsi"/>
        </w:rPr>
        <w:t xml:space="preserve">Les </w:t>
      </w:r>
      <w:r w:rsidR="001F6D4B" w:rsidRPr="00883E0C">
        <w:rPr>
          <w:rFonts w:asciiTheme="minorHAnsi" w:hAnsiTheme="minorHAnsi" w:cstheme="minorHAnsi"/>
        </w:rPr>
        <w:t xml:space="preserve">risques de violence à l'égard des </w:t>
      </w:r>
      <w:r w:rsidRPr="00883E0C">
        <w:rPr>
          <w:rFonts w:asciiTheme="minorHAnsi" w:hAnsiTheme="minorHAnsi"/>
        </w:rPr>
        <w:t xml:space="preserve">femmes âgées handicapées sont </w:t>
      </w:r>
      <w:r w:rsidR="001F6D4B" w:rsidRPr="00883E0C">
        <w:rPr>
          <w:rFonts w:asciiTheme="minorHAnsi" w:hAnsiTheme="minorHAnsi" w:cstheme="minorHAnsi"/>
        </w:rPr>
        <w:t xml:space="preserve">plus élevés, </w:t>
      </w:r>
      <w:r w:rsidRPr="00883E0C">
        <w:rPr>
          <w:rFonts w:asciiTheme="minorHAnsi" w:hAnsiTheme="minorHAnsi"/>
        </w:rPr>
        <w:t>tant dans la communauté que dans les milieux institutionnalisés, y compris les hôpitaux, les maisons de soins infirmiers et autres lieux d'hébergement, et comprennent les abus physiques, psychologiques et sexuels, la négligence des soignants et l'exploitation financière</w:t>
      </w:r>
      <w:r w:rsidR="00E671A3" w:rsidRPr="00883E0C">
        <w:rPr>
          <w:rFonts w:asciiTheme="minorHAnsi" w:hAnsiTheme="minorHAnsi"/>
        </w:rPr>
        <w:t xml:space="preserve">. </w:t>
      </w:r>
      <w:r w:rsidR="00E671A3" w:rsidRPr="00883E0C">
        <w:rPr>
          <w:rStyle w:val="Appelnotedebasdep"/>
          <w:rFonts w:asciiTheme="minorHAnsi" w:hAnsiTheme="minorHAnsi"/>
        </w:rPr>
        <w:footnoteReference w:id="15"/>
      </w:r>
    </w:p>
    <w:p w:rsidR="00443D0D" w:rsidRPr="00883E0C" w:rsidRDefault="00443D0D" w:rsidP="00443D0D">
      <w:pPr>
        <w:pStyle w:val="Paragraphedeliste"/>
        <w:jc w:val="both"/>
        <w:rPr>
          <w:rFonts w:asciiTheme="minorHAnsi" w:hAnsiTheme="minorHAnsi" w:cstheme="minorHAnsi"/>
        </w:rPr>
      </w:pPr>
    </w:p>
    <w:p w:rsidR="00D766B5" w:rsidRDefault="002A07AB">
      <w:pPr>
        <w:pStyle w:val="Paragraphedeliste"/>
        <w:jc w:val="both"/>
        <w:rPr>
          <w:rFonts w:asciiTheme="minorHAnsi" w:hAnsiTheme="minorHAnsi" w:cstheme="minorHAnsi"/>
        </w:rPr>
      </w:pPr>
      <w:r w:rsidRPr="00883E0C">
        <w:rPr>
          <w:rFonts w:asciiTheme="minorHAnsi" w:hAnsiTheme="minorHAnsi" w:cstheme="minorHAnsi"/>
        </w:rPr>
        <w:t xml:space="preserve">Au cours de </w:t>
      </w:r>
      <w:r w:rsidR="0061677B" w:rsidRPr="00883E0C">
        <w:rPr>
          <w:rFonts w:asciiTheme="minorHAnsi" w:hAnsiTheme="minorHAnsi" w:cstheme="minorHAnsi"/>
        </w:rPr>
        <w:t>la pandémie de coronavirus (COVID-19)</w:t>
      </w:r>
      <w:r w:rsidRPr="00883E0C">
        <w:rPr>
          <w:rFonts w:asciiTheme="minorHAnsi" w:hAnsiTheme="minorHAnsi" w:cstheme="minorHAnsi"/>
        </w:rPr>
        <w:t xml:space="preserve">, les </w:t>
      </w:r>
      <w:r w:rsidR="00097182" w:rsidRPr="00883E0C">
        <w:rPr>
          <w:rFonts w:asciiTheme="minorHAnsi" w:hAnsiTheme="minorHAnsi" w:cstheme="minorHAnsi"/>
        </w:rPr>
        <w:t xml:space="preserve">mécanismes de défense des droits de l'homme, y compris les comités CEDAW et CDPH, </w:t>
      </w:r>
      <w:r w:rsidRPr="00883E0C">
        <w:rPr>
          <w:rFonts w:asciiTheme="minorHAnsi" w:hAnsiTheme="minorHAnsi" w:cstheme="minorHAnsi"/>
        </w:rPr>
        <w:t xml:space="preserve">ont reçu des rapports faisant état de </w:t>
      </w:r>
      <w:r w:rsidR="008C2A79" w:rsidRPr="00883E0C">
        <w:rPr>
          <w:rFonts w:asciiTheme="minorHAnsi" w:hAnsiTheme="minorHAnsi" w:cstheme="minorHAnsi"/>
        </w:rPr>
        <w:t xml:space="preserve">graves </w:t>
      </w:r>
      <w:r w:rsidRPr="00883E0C">
        <w:rPr>
          <w:rFonts w:asciiTheme="minorHAnsi" w:hAnsiTheme="minorHAnsi" w:cstheme="minorHAnsi"/>
        </w:rPr>
        <w:t xml:space="preserve">répercussions sur les </w:t>
      </w:r>
      <w:r w:rsidR="0061677B" w:rsidRPr="00883E0C">
        <w:rPr>
          <w:rFonts w:asciiTheme="minorHAnsi" w:hAnsiTheme="minorHAnsi" w:cstheme="minorHAnsi"/>
        </w:rPr>
        <w:t xml:space="preserve">femmes </w:t>
      </w:r>
      <w:r w:rsidR="008C2A79" w:rsidRPr="00883E0C">
        <w:rPr>
          <w:rFonts w:asciiTheme="minorHAnsi" w:hAnsiTheme="minorHAnsi" w:cstheme="minorHAnsi"/>
        </w:rPr>
        <w:t>et les filles handicapées</w:t>
      </w:r>
      <w:r w:rsidRPr="00883E0C">
        <w:rPr>
          <w:rFonts w:asciiTheme="minorHAnsi" w:hAnsiTheme="minorHAnsi" w:cstheme="minorHAnsi"/>
        </w:rPr>
        <w:t xml:space="preserve">, telles que </w:t>
      </w:r>
      <w:r w:rsidR="008C2A79" w:rsidRPr="00883E0C">
        <w:rPr>
          <w:rFonts w:asciiTheme="minorHAnsi" w:hAnsiTheme="minorHAnsi" w:cstheme="minorHAnsi"/>
        </w:rPr>
        <w:t xml:space="preserve">l'augmentation du nombre de </w:t>
      </w:r>
      <w:r w:rsidR="001F51DA" w:rsidRPr="00883E0C">
        <w:rPr>
          <w:rFonts w:asciiTheme="minorHAnsi" w:hAnsiTheme="minorHAnsi" w:cstheme="minorHAnsi"/>
        </w:rPr>
        <w:t xml:space="preserve">cas </w:t>
      </w:r>
      <w:r w:rsidR="001F6D4B" w:rsidRPr="00883E0C">
        <w:rPr>
          <w:rFonts w:asciiTheme="minorHAnsi" w:hAnsiTheme="minorHAnsi" w:cstheme="minorHAnsi"/>
        </w:rPr>
        <w:t xml:space="preserve">de </w:t>
      </w:r>
      <w:r w:rsidR="008C2A79" w:rsidRPr="00883E0C">
        <w:rPr>
          <w:rFonts w:asciiTheme="minorHAnsi" w:hAnsiTheme="minorHAnsi" w:cstheme="minorHAnsi"/>
        </w:rPr>
        <w:t xml:space="preserve">violence sexiste </w:t>
      </w:r>
      <w:r w:rsidR="001F51DA" w:rsidRPr="00883E0C">
        <w:rPr>
          <w:rFonts w:asciiTheme="minorHAnsi" w:hAnsiTheme="minorHAnsi" w:cstheme="minorHAnsi"/>
        </w:rPr>
        <w:t xml:space="preserve">à l'encontre des femmes et des filles handicapées </w:t>
      </w:r>
      <w:r w:rsidR="008C2A79" w:rsidRPr="00883E0C">
        <w:rPr>
          <w:rFonts w:asciiTheme="minorHAnsi" w:hAnsiTheme="minorHAnsi" w:cstheme="minorHAnsi"/>
        </w:rPr>
        <w:t xml:space="preserve">dans la sphère privée, notamment par des membres de la famille, en particulier pendant l'enfermement. </w:t>
      </w:r>
      <w:r w:rsidR="00443D0D" w:rsidRPr="00883E0C">
        <w:rPr>
          <w:rFonts w:asciiTheme="minorHAnsi" w:hAnsiTheme="minorHAnsi" w:cstheme="minorHAnsi"/>
        </w:rPr>
        <w:t xml:space="preserve">En outre, les </w:t>
      </w:r>
      <w:r w:rsidR="008C2A79" w:rsidRPr="00883E0C">
        <w:rPr>
          <w:rFonts w:asciiTheme="minorHAnsi" w:hAnsiTheme="minorHAnsi" w:cstheme="minorHAnsi"/>
        </w:rPr>
        <w:t xml:space="preserve">institutions et les </w:t>
      </w:r>
      <w:r w:rsidR="0090575B" w:rsidRPr="00883E0C">
        <w:rPr>
          <w:rFonts w:asciiTheme="minorHAnsi" w:hAnsiTheme="minorHAnsi" w:cstheme="minorHAnsi"/>
        </w:rPr>
        <w:t xml:space="preserve">établissements </w:t>
      </w:r>
      <w:r w:rsidR="008C2A79" w:rsidRPr="00883E0C">
        <w:rPr>
          <w:rFonts w:asciiTheme="minorHAnsi" w:hAnsiTheme="minorHAnsi" w:cstheme="minorHAnsi"/>
        </w:rPr>
        <w:t xml:space="preserve">psychiatriques ont été fermés à la </w:t>
      </w:r>
      <w:r w:rsidR="001F6D4B" w:rsidRPr="00883E0C">
        <w:rPr>
          <w:rFonts w:asciiTheme="minorHAnsi" w:hAnsiTheme="minorHAnsi" w:cstheme="minorHAnsi"/>
        </w:rPr>
        <w:t>communauté</w:t>
      </w:r>
      <w:r w:rsidR="008C2A79" w:rsidRPr="00883E0C">
        <w:rPr>
          <w:rFonts w:asciiTheme="minorHAnsi" w:hAnsiTheme="minorHAnsi" w:cstheme="minorHAnsi"/>
        </w:rPr>
        <w:t xml:space="preserve">, ce qui a conduit à l'isolement complet des femmes et des filles </w:t>
      </w:r>
      <w:r w:rsidR="0090575B" w:rsidRPr="00883E0C">
        <w:rPr>
          <w:rFonts w:asciiTheme="minorHAnsi" w:hAnsiTheme="minorHAnsi" w:cstheme="minorHAnsi"/>
        </w:rPr>
        <w:t xml:space="preserve">handicapées </w:t>
      </w:r>
      <w:r w:rsidR="00B76302" w:rsidRPr="00883E0C">
        <w:rPr>
          <w:rFonts w:asciiTheme="minorHAnsi" w:hAnsiTheme="minorHAnsi" w:cstheme="minorHAnsi"/>
        </w:rPr>
        <w:t>vivant toujours en institution</w:t>
      </w:r>
      <w:r w:rsidR="0090575B" w:rsidRPr="00883E0C">
        <w:rPr>
          <w:rFonts w:asciiTheme="minorHAnsi" w:hAnsiTheme="minorHAnsi" w:cstheme="minorHAnsi"/>
        </w:rPr>
        <w:t xml:space="preserve">. Les environnements fermés qui en résultent ont augmenté l'incidence de la </w:t>
      </w:r>
      <w:r w:rsidR="005215EC" w:rsidRPr="00883E0C">
        <w:rPr>
          <w:rFonts w:asciiTheme="minorHAnsi" w:hAnsiTheme="minorHAnsi" w:cstheme="minorHAnsi"/>
        </w:rPr>
        <w:t xml:space="preserve">violence </w:t>
      </w:r>
      <w:r w:rsidR="0090575B" w:rsidRPr="00883E0C">
        <w:rPr>
          <w:rFonts w:asciiTheme="minorHAnsi" w:hAnsiTheme="minorHAnsi" w:cstheme="minorHAnsi"/>
        </w:rPr>
        <w:t>sexiste</w:t>
      </w:r>
      <w:r w:rsidR="005215EC" w:rsidRPr="00883E0C">
        <w:rPr>
          <w:rFonts w:asciiTheme="minorHAnsi" w:hAnsiTheme="minorHAnsi" w:cstheme="minorHAnsi"/>
        </w:rPr>
        <w:t xml:space="preserve">. </w:t>
      </w:r>
      <w:r w:rsidR="008C2A79" w:rsidRPr="00883E0C">
        <w:rPr>
          <w:rFonts w:asciiTheme="minorHAnsi" w:hAnsiTheme="minorHAnsi" w:cstheme="minorHAnsi"/>
        </w:rPr>
        <w:t xml:space="preserve">Cette situation est particulièrement préoccupante, car le Comité a </w:t>
      </w:r>
      <w:r w:rsidR="0090575B" w:rsidRPr="00883E0C">
        <w:rPr>
          <w:rFonts w:asciiTheme="minorHAnsi" w:hAnsiTheme="minorHAnsi" w:cstheme="minorHAnsi"/>
        </w:rPr>
        <w:t xml:space="preserve">observé </w:t>
      </w:r>
      <w:r w:rsidR="008C2A79" w:rsidRPr="00883E0C">
        <w:rPr>
          <w:rFonts w:asciiTheme="minorHAnsi" w:hAnsiTheme="minorHAnsi" w:cstheme="minorHAnsi"/>
        </w:rPr>
        <w:t xml:space="preserve">une tendance à la violence sexiste à l'encontre des femmes et des filles handicapées dans les institutions et les </w:t>
      </w:r>
      <w:r w:rsidR="0090575B" w:rsidRPr="00883E0C">
        <w:rPr>
          <w:rFonts w:asciiTheme="minorHAnsi" w:hAnsiTheme="minorHAnsi" w:cstheme="minorHAnsi"/>
        </w:rPr>
        <w:t xml:space="preserve">établissements </w:t>
      </w:r>
      <w:r w:rsidR="008C2A79" w:rsidRPr="00883E0C">
        <w:rPr>
          <w:rFonts w:asciiTheme="minorHAnsi" w:hAnsiTheme="minorHAnsi" w:cstheme="minorHAnsi"/>
        </w:rPr>
        <w:t xml:space="preserve">psychiatriques avant la pandémie. </w:t>
      </w:r>
    </w:p>
    <w:p w:rsidR="00016DAF" w:rsidRPr="00883E0C" w:rsidRDefault="00016DAF" w:rsidP="00443D0D">
      <w:pPr>
        <w:pStyle w:val="Paragraphedeliste"/>
        <w:jc w:val="both"/>
        <w:rPr>
          <w:rFonts w:asciiTheme="minorHAnsi" w:hAnsiTheme="minorHAnsi" w:cstheme="minorHAnsi"/>
        </w:rPr>
      </w:pPr>
    </w:p>
    <w:p w:rsidR="00D766B5" w:rsidRDefault="001F6D4B">
      <w:pPr>
        <w:pStyle w:val="Paragraphedeliste"/>
        <w:jc w:val="both"/>
        <w:rPr>
          <w:rFonts w:asciiTheme="minorHAnsi" w:hAnsiTheme="minorHAnsi" w:cstheme="minorHAnsi"/>
        </w:rPr>
      </w:pPr>
      <w:r w:rsidRPr="00883E0C">
        <w:rPr>
          <w:rFonts w:asciiTheme="minorHAnsi" w:hAnsiTheme="minorHAnsi" w:cstheme="minorHAnsi"/>
          <w:bCs/>
          <w:iCs/>
          <w:lang w:val="en-US"/>
        </w:rPr>
        <w:t xml:space="preserve">Dans l'ensemble, </w:t>
      </w:r>
      <w:hyperlink r:id="rId30" w:history="1">
        <w:r w:rsidRPr="00883E0C">
          <w:rPr>
            <w:rStyle w:val="Lienhypertexte"/>
            <w:rFonts w:asciiTheme="minorHAnsi" w:hAnsiTheme="minorHAnsi" w:cstheme="minorHAnsi"/>
            <w:bCs/>
            <w:iCs/>
            <w:lang w:val="en-US"/>
          </w:rPr>
          <w:t>les rapports indiquent que l'incidence de la violence à l'égard des femmes et des filles handicapées est nettement plus élevée et très préoccupante</w:t>
        </w:r>
      </w:hyperlink>
      <w:r w:rsidRPr="00883E0C">
        <w:rPr>
          <w:rFonts w:asciiTheme="minorHAnsi" w:hAnsiTheme="minorHAnsi" w:cstheme="minorHAnsi"/>
          <w:bCs/>
          <w:iCs/>
          <w:lang w:val="en-US"/>
        </w:rPr>
        <w:t xml:space="preserve">. </w:t>
      </w:r>
      <w:r w:rsidRPr="00883E0C">
        <w:rPr>
          <w:rFonts w:asciiTheme="minorHAnsi" w:hAnsiTheme="minorHAnsi" w:cstheme="minorHAnsi"/>
        </w:rPr>
        <w:t>Toutefois, les lois, politiques et programmes</w:t>
      </w:r>
      <w:r w:rsidRPr="00883E0C">
        <w:rPr>
          <w:rFonts w:asciiTheme="minorHAnsi" w:hAnsiTheme="minorHAnsi" w:cstheme="minorHAnsi"/>
        </w:rPr>
        <w:t xml:space="preserve"> existants en matière de violence fondée sur le sexe abordent rarement la situation des femmes et des filles handicapées, et il est difficile de trouver des données complètes ventilées à la fois par sexe et par handicap, ce qui empêche de </w:t>
      </w:r>
      <w:r w:rsidRPr="00883E0C">
        <w:rPr>
          <w:rFonts w:asciiTheme="minorHAnsi" w:hAnsiTheme="minorHAnsi" w:cstheme="minorHAnsi"/>
          <w:bCs/>
          <w:iCs/>
          <w:lang w:val="en-US"/>
        </w:rPr>
        <w:t>comprendre précis</w:t>
      </w:r>
      <w:r w:rsidRPr="00883E0C">
        <w:rPr>
          <w:rFonts w:asciiTheme="minorHAnsi" w:hAnsiTheme="minorHAnsi" w:cstheme="minorHAnsi"/>
          <w:bCs/>
          <w:iCs/>
          <w:lang w:val="en-US"/>
        </w:rPr>
        <w:t>ément l'ampleur de la violence à l'égard des femmes et des filles handicapées.</w:t>
      </w:r>
    </w:p>
    <w:p w:rsidR="00542091" w:rsidRPr="00883E0C" w:rsidRDefault="00542091" w:rsidP="00443D0D">
      <w:pPr>
        <w:pStyle w:val="Paragraphedeliste"/>
        <w:jc w:val="both"/>
        <w:rPr>
          <w:rFonts w:asciiTheme="minorHAnsi" w:hAnsiTheme="minorHAnsi" w:cstheme="minorHAnsi"/>
        </w:rPr>
      </w:pPr>
    </w:p>
    <w:p w:rsidR="003963F9" w:rsidRPr="00883E0C" w:rsidRDefault="003963F9" w:rsidP="00443D0D">
      <w:pPr>
        <w:pStyle w:val="Paragraphedeliste"/>
        <w:jc w:val="both"/>
        <w:rPr>
          <w:rFonts w:asciiTheme="minorHAnsi" w:hAnsiTheme="minorHAnsi" w:cstheme="minorHAnsi"/>
        </w:rPr>
      </w:pPr>
    </w:p>
    <w:p w:rsidR="00D766B5" w:rsidRDefault="001F6D4B">
      <w:pPr>
        <w:pStyle w:val="Paragraphedeliste"/>
        <w:numPr>
          <w:ilvl w:val="0"/>
          <w:numId w:val="9"/>
        </w:numPr>
        <w:jc w:val="both"/>
        <w:rPr>
          <w:rFonts w:asciiTheme="minorHAnsi" w:hAnsiTheme="minorHAnsi" w:cstheme="minorHAnsi"/>
          <w:b/>
        </w:rPr>
      </w:pPr>
      <w:r w:rsidRPr="00883E0C">
        <w:rPr>
          <w:rFonts w:asciiTheme="minorHAnsi" w:hAnsiTheme="minorHAnsi" w:cstheme="minorHAnsi"/>
          <w:b/>
        </w:rPr>
        <w:lastRenderedPageBreak/>
        <w:t xml:space="preserve">Difficultés d'accès effectif à la justice </w:t>
      </w:r>
      <w:r w:rsidR="00A66179" w:rsidRPr="00883E0C">
        <w:rPr>
          <w:rFonts w:asciiTheme="minorHAnsi" w:hAnsiTheme="minorHAnsi" w:cstheme="minorHAnsi"/>
          <w:b/>
        </w:rPr>
        <w:t xml:space="preserve">rencontrées par </w:t>
      </w:r>
      <w:r w:rsidRPr="00883E0C">
        <w:rPr>
          <w:rFonts w:asciiTheme="minorHAnsi" w:hAnsiTheme="minorHAnsi" w:cstheme="minorHAnsi"/>
          <w:b/>
        </w:rPr>
        <w:t>les femmes et les filles handicapées</w:t>
      </w:r>
    </w:p>
    <w:p w:rsidR="00AA5CF5" w:rsidRPr="00883E0C" w:rsidRDefault="00AA5CF5" w:rsidP="007457F8">
      <w:pPr>
        <w:pStyle w:val="Paragraphedeliste"/>
        <w:jc w:val="both"/>
        <w:rPr>
          <w:rFonts w:asciiTheme="minorHAnsi" w:hAnsiTheme="minorHAnsi" w:cstheme="minorHAnsi"/>
        </w:rPr>
      </w:pPr>
    </w:p>
    <w:p w:rsidR="00D766B5" w:rsidRDefault="005215EC">
      <w:pPr>
        <w:pStyle w:val="Paragraphedeliste"/>
        <w:jc w:val="both"/>
        <w:rPr>
          <w:rFonts w:asciiTheme="minorHAnsi" w:hAnsiTheme="minorHAnsi" w:cstheme="minorHAnsi"/>
        </w:rPr>
      </w:pPr>
      <w:r w:rsidRPr="00883E0C">
        <w:rPr>
          <w:rFonts w:asciiTheme="minorHAnsi" w:hAnsiTheme="minorHAnsi" w:cstheme="minorHAnsi"/>
        </w:rPr>
        <w:t xml:space="preserve">Les </w:t>
      </w:r>
      <w:r w:rsidR="007457F8" w:rsidRPr="00883E0C">
        <w:rPr>
          <w:rFonts w:asciiTheme="minorHAnsi" w:hAnsiTheme="minorHAnsi" w:cstheme="minorHAnsi"/>
        </w:rPr>
        <w:t xml:space="preserve">femmes et les filles handicapées se heurtent </w:t>
      </w:r>
      <w:r w:rsidR="001F33A4" w:rsidRPr="00883E0C">
        <w:rPr>
          <w:rFonts w:asciiTheme="minorHAnsi" w:hAnsiTheme="minorHAnsi" w:cstheme="minorHAnsi"/>
        </w:rPr>
        <w:t xml:space="preserve">également à de multiples </w:t>
      </w:r>
      <w:r w:rsidR="007457F8" w:rsidRPr="00883E0C">
        <w:rPr>
          <w:rFonts w:asciiTheme="minorHAnsi" w:hAnsiTheme="minorHAnsi" w:cstheme="minorHAnsi"/>
        </w:rPr>
        <w:t xml:space="preserve">obstacles pour accéder à la justice en raison de stéréotypes néfastes, de la discrimination et de l'absence d'aménagements procéduraux et raisonnables, ce qui peut conduire à mettre en doute leur crédibilité et à écarter leurs </w:t>
      </w:r>
      <w:r w:rsidR="0090575B" w:rsidRPr="00883E0C">
        <w:rPr>
          <w:rFonts w:asciiTheme="minorHAnsi" w:hAnsiTheme="minorHAnsi" w:cstheme="minorHAnsi"/>
        </w:rPr>
        <w:t>témoignages</w:t>
      </w:r>
      <w:r w:rsidRPr="00883E0C">
        <w:rPr>
          <w:rFonts w:asciiTheme="minorHAnsi" w:hAnsiTheme="minorHAnsi" w:cstheme="minorHAnsi"/>
        </w:rPr>
        <w:t>, comme c'est le cas pour les femmes âgées atteintes de déficience intellectuelle</w:t>
      </w:r>
      <w:r w:rsidR="007457F8" w:rsidRPr="00883E0C">
        <w:rPr>
          <w:rFonts w:asciiTheme="minorHAnsi" w:hAnsiTheme="minorHAnsi" w:cstheme="minorHAnsi"/>
        </w:rPr>
        <w:t xml:space="preserve">. Ces obstacles comprennent </w:t>
      </w:r>
      <w:r w:rsidR="001F33A4" w:rsidRPr="00883E0C">
        <w:rPr>
          <w:rFonts w:asciiTheme="minorHAnsi" w:hAnsiTheme="minorHAnsi" w:cstheme="minorHAnsi"/>
        </w:rPr>
        <w:t>l</w:t>
      </w:r>
      <w:r w:rsidR="007457F8" w:rsidRPr="00883E0C">
        <w:rPr>
          <w:rFonts w:asciiTheme="minorHAnsi" w:hAnsiTheme="minorHAnsi" w:cstheme="minorHAnsi"/>
        </w:rPr>
        <w:t>'</w:t>
      </w:r>
      <w:r w:rsidR="00A66179" w:rsidRPr="00883E0C">
        <w:rPr>
          <w:rFonts w:asciiTheme="minorHAnsi" w:hAnsiTheme="minorHAnsi" w:cstheme="minorHAnsi"/>
        </w:rPr>
        <w:t xml:space="preserve">absence </w:t>
      </w:r>
      <w:r w:rsidR="001F33A4" w:rsidRPr="00883E0C">
        <w:rPr>
          <w:rFonts w:asciiTheme="minorHAnsi" w:hAnsiTheme="minorHAnsi" w:cstheme="minorHAnsi"/>
        </w:rPr>
        <w:t xml:space="preserve">de </w:t>
      </w:r>
      <w:r w:rsidR="007457F8" w:rsidRPr="00883E0C">
        <w:rPr>
          <w:rFonts w:asciiTheme="minorHAnsi" w:hAnsiTheme="minorHAnsi" w:cstheme="minorHAnsi"/>
        </w:rPr>
        <w:t xml:space="preserve">procédures de signalement </w:t>
      </w:r>
      <w:r w:rsidR="001F33A4" w:rsidRPr="00883E0C">
        <w:rPr>
          <w:rFonts w:asciiTheme="minorHAnsi" w:hAnsiTheme="minorHAnsi" w:cstheme="minorHAnsi"/>
        </w:rPr>
        <w:t xml:space="preserve">ou des </w:t>
      </w:r>
      <w:r w:rsidR="007457F8" w:rsidRPr="00883E0C">
        <w:rPr>
          <w:rFonts w:asciiTheme="minorHAnsi" w:hAnsiTheme="minorHAnsi" w:cstheme="minorHAnsi"/>
        </w:rPr>
        <w:t xml:space="preserve">procédures compliquées ou dégradantes, l'orientation des </w:t>
      </w:r>
      <w:r w:rsidR="00A66179" w:rsidRPr="00883E0C">
        <w:rPr>
          <w:rFonts w:asciiTheme="minorHAnsi" w:hAnsiTheme="minorHAnsi" w:cstheme="minorHAnsi"/>
        </w:rPr>
        <w:t xml:space="preserve">survivants </w:t>
      </w:r>
      <w:r w:rsidR="007457F8" w:rsidRPr="00883E0C">
        <w:rPr>
          <w:rFonts w:asciiTheme="minorHAnsi" w:hAnsiTheme="minorHAnsi" w:cstheme="minorHAnsi"/>
        </w:rPr>
        <w:t>vers des services sociaux plutôt que vers des recours juridiques, l</w:t>
      </w:r>
      <w:r w:rsidR="0090575B" w:rsidRPr="00883E0C">
        <w:rPr>
          <w:rFonts w:asciiTheme="minorHAnsi" w:hAnsiTheme="minorHAnsi" w:cstheme="minorHAnsi"/>
        </w:rPr>
        <w:t>'</w:t>
      </w:r>
      <w:r w:rsidR="007457F8" w:rsidRPr="00883E0C">
        <w:rPr>
          <w:rFonts w:asciiTheme="minorHAnsi" w:hAnsiTheme="minorHAnsi" w:cstheme="minorHAnsi"/>
        </w:rPr>
        <w:t xml:space="preserve">inaccessibilité des informations et des </w:t>
      </w:r>
      <w:r w:rsidR="0090575B" w:rsidRPr="00883E0C">
        <w:rPr>
          <w:rFonts w:asciiTheme="minorHAnsi" w:hAnsiTheme="minorHAnsi" w:cstheme="minorHAnsi"/>
        </w:rPr>
        <w:t>procédures</w:t>
      </w:r>
      <w:r w:rsidR="007457F8" w:rsidRPr="00883E0C">
        <w:rPr>
          <w:rFonts w:asciiTheme="minorHAnsi" w:hAnsiTheme="minorHAnsi" w:cstheme="minorHAnsi"/>
        </w:rPr>
        <w:t xml:space="preserve"> juridiques permettant de signaler ces violations et abus</w:t>
      </w:r>
      <w:r w:rsidR="001F33A4" w:rsidRPr="00883E0C">
        <w:rPr>
          <w:rFonts w:asciiTheme="minorHAnsi" w:hAnsiTheme="minorHAnsi" w:cstheme="minorHAnsi"/>
        </w:rPr>
        <w:t xml:space="preserve">, les règles de procédure restrictives concernant les témoins et les </w:t>
      </w:r>
      <w:r w:rsidR="00A66179" w:rsidRPr="00883E0C">
        <w:rPr>
          <w:rFonts w:asciiTheme="minorHAnsi" w:hAnsiTheme="minorHAnsi" w:cstheme="minorHAnsi"/>
        </w:rPr>
        <w:t>survivants</w:t>
      </w:r>
      <w:r w:rsidR="0090575B" w:rsidRPr="00883E0C">
        <w:rPr>
          <w:rFonts w:asciiTheme="minorHAnsi" w:hAnsiTheme="minorHAnsi" w:cstheme="minorHAnsi"/>
        </w:rPr>
        <w:t xml:space="preserve">, </w:t>
      </w:r>
      <w:r w:rsidR="001F33A4" w:rsidRPr="00883E0C">
        <w:rPr>
          <w:rFonts w:asciiTheme="minorHAnsi" w:hAnsiTheme="minorHAnsi" w:cstheme="minorHAnsi"/>
        </w:rPr>
        <w:t>et la stigmatisation au sein de l'appareil judiciaire qui affecte négativement l'</w:t>
      </w:r>
      <w:r w:rsidR="00A66179" w:rsidRPr="00883E0C">
        <w:rPr>
          <w:rFonts w:asciiTheme="minorHAnsi" w:hAnsiTheme="minorHAnsi" w:cstheme="minorHAnsi"/>
        </w:rPr>
        <w:t xml:space="preserve">accès à la justice et l'accès des femmes, et en particulier des </w:t>
      </w:r>
      <w:r w:rsidR="001F33A4" w:rsidRPr="00883E0C">
        <w:rPr>
          <w:rFonts w:asciiTheme="minorHAnsi" w:hAnsiTheme="minorHAnsi" w:cstheme="minorHAnsi"/>
        </w:rPr>
        <w:t xml:space="preserve">femmes handicapées, à des </w:t>
      </w:r>
      <w:r w:rsidR="00A66179" w:rsidRPr="00883E0C">
        <w:rPr>
          <w:rFonts w:asciiTheme="minorHAnsi" w:hAnsiTheme="minorHAnsi" w:cstheme="minorHAnsi"/>
        </w:rPr>
        <w:t>recours efficaces et à des réparations</w:t>
      </w:r>
      <w:r w:rsidR="007457F8" w:rsidRPr="00883E0C">
        <w:rPr>
          <w:rFonts w:asciiTheme="minorHAnsi" w:hAnsiTheme="minorHAnsi" w:cstheme="minorHAnsi"/>
        </w:rPr>
        <w:t xml:space="preserve">. </w:t>
      </w:r>
      <w:r w:rsidRPr="00883E0C">
        <w:rPr>
          <w:rFonts w:asciiTheme="minorHAnsi" w:hAnsiTheme="minorHAnsi" w:cstheme="minorHAnsi"/>
        </w:rPr>
        <w:t>Par exemple, les femmes handicapées âgées qui ont survécu à des violences sexuelles sont confrontées à des obstacles particuliers en matière de divulgation et d'accès à la justice, ce qui fait que leurs expériences restent cachées</w:t>
      </w:r>
      <w:r w:rsidRPr="00883E0C">
        <w:rPr>
          <w:rStyle w:val="Appelnotedebasdep"/>
          <w:rFonts w:asciiTheme="minorHAnsi" w:hAnsiTheme="minorHAnsi" w:cstheme="minorHAnsi"/>
        </w:rPr>
        <w:footnoteReference w:id="16"/>
      </w:r>
      <w:r w:rsidRPr="00883E0C">
        <w:rPr>
          <w:rFonts w:asciiTheme="minorHAnsi" w:hAnsiTheme="minorHAnsi" w:cstheme="minorHAnsi"/>
        </w:rPr>
        <w:t xml:space="preserve">. </w:t>
      </w:r>
      <w:r w:rsidR="007457F8" w:rsidRPr="00883E0C">
        <w:rPr>
          <w:rFonts w:asciiTheme="minorHAnsi" w:hAnsiTheme="minorHAnsi" w:cstheme="minorHAnsi"/>
        </w:rPr>
        <w:t xml:space="preserve">En outre, </w:t>
      </w:r>
      <w:r w:rsidR="00542091" w:rsidRPr="00883E0C">
        <w:rPr>
          <w:rFonts w:asciiTheme="minorHAnsi" w:hAnsiTheme="minorHAnsi" w:cstheme="minorHAnsi"/>
        </w:rPr>
        <w:t xml:space="preserve">les </w:t>
      </w:r>
      <w:r w:rsidR="00EA09EE" w:rsidRPr="00883E0C">
        <w:rPr>
          <w:rFonts w:asciiTheme="minorHAnsi" w:hAnsiTheme="minorHAnsi" w:cstheme="minorHAnsi"/>
        </w:rPr>
        <w:t>comités s</w:t>
      </w:r>
      <w:r w:rsidR="00AA5CF5" w:rsidRPr="00883E0C">
        <w:rPr>
          <w:rFonts w:asciiTheme="minorHAnsi" w:hAnsiTheme="minorHAnsi" w:cstheme="minorHAnsi"/>
        </w:rPr>
        <w:t xml:space="preserve">'inquiètent </w:t>
      </w:r>
      <w:r w:rsidR="00542091" w:rsidRPr="00883E0C">
        <w:rPr>
          <w:rFonts w:asciiTheme="minorHAnsi" w:hAnsiTheme="minorHAnsi" w:cstheme="minorHAnsi"/>
        </w:rPr>
        <w:t xml:space="preserve">du fait que les femmes et les filles </w:t>
      </w:r>
      <w:r w:rsidR="00AA5CF5" w:rsidRPr="00883E0C">
        <w:rPr>
          <w:rFonts w:asciiTheme="minorHAnsi" w:hAnsiTheme="minorHAnsi" w:cstheme="minorHAnsi"/>
        </w:rPr>
        <w:t xml:space="preserve">handicapées </w:t>
      </w:r>
      <w:r w:rsidR="00A66179" w:rsidRPr="00883E0C">
        <w:rPr>
          <w:rFonts w:asciiTheme="minorHAnsi" w:hAnsiTheme="minorHAnsi" w:cstheme="minorHAnsi"/>
        </w:rPr>
        <w:t xml:space="preserve">victimes de </w:t>
      </w:r>
      <w:r w:rsidR="00542091" w:rsidRPr="00883E0C">
        <w:rPr>
          <w:rFonts w:asciiTheme="minorHAnsi" w:hAnsiTheme="minorHAnsi" w:cstheme="minorHAnsi"/>
        </w:rPr>
        <w:t xml:space="preserve">violences sexistes </w:t>
      </w:r>
      <w:r w:rsidR="007457F8" w:rsidRPr="00883E0C">
        <w:rPr>
          <w:rFonts w:asciiTheme="minorHAnsi" w:hAnsiTheme="minorHAnsi" w:cstheme="minorHAnsi"/>
        </w:rPr>
        <w:t xml:space="preserve">ignorent souvent leurs droits et les voies de recours </w:t>
      </w:r>
      <w:r w:rsidR="00A66179" w:rsidRPr="00883E0C">
        <w:rPr>
          <w:rFonts w:asciiTheme="minorHAnsi" w:hAnsiTheme="minorHAnsi" w:cstheme="minorHAnsi"/>
        </w:rPr>
        <w:t>dont elles disposent</w:t>
      </w:r>
      <w:r w:rsidR="007457F8" w:rsidRPr="00883E0C">
        <w:rPr>
          <w:rFonts w:asciiTheme="minorHAnsi" w:hAnsiTheme="minorHAnsi" w:cstheme="minorHAnsi"/>
        </w:rPr>
        <w:t xml:space="preserve">. </w:t>
      </w:r>
    </w:p>
    <w:p w:rsidR="00EA09EE" w:rsidRPr="00883E0C" w:rsidRDefault="00EA09EE" w:rsidP="0012792B">
      <w:pPr>
        <w:pStyle w:val="Paragraphedeliste"/>
        <w:jc w:val="both"/>
        <w:rPr>
          <w:rFonts w:asciiTheme="minorHAnsi" w:hAnsiTheme="minorHAnsi" w:cstheme="minorHAnsi"/>
        </w:rPr>
      </w:pPr>
    </w:p>
    <w:p w:rsidR="00D766B5" w:rsidRDefault="001F6D4B">
      <w:pPr>
        <w:pStyle w:val="Paragraphedeliste"/>
        <w:jc w:val="both"/>
        <w:rPr>
          <w:rFonts w:asciiTheme="minorHAnsi" w:hAnsiTheme="minorHAnsi" w:cstheme="minorHAnsi"/>
        </w:rPr>
      </w:pPr>
      <w:r w:rsidRPr="00883E0C">
        <w:rPr>
          <w:rFonts w:asciiTheme="minorHAnsi" w:hAnsiTheme="minorHAnsi" w:cstheme="minorHAnsi"/>
          <w:bCs/>
          <w:iCs/>
          <w:lang w:val="en-US"/>
        </w:rPr>
        <w:t>Le Comité CEDAW a recommandé aux États parties d'</w:t>
      </w:r>
      <w:r w:rsidRPr="00883E0C">
        <w:rPr>
          <w:rFonts w:asciiTheme="minorHAnsi" w:hAnsiTheme="minorHAnsi" w:cstheme="minorHAnsi"/>
        </w:rPr>
        <w:t>accorder une attention particulière à l'</w:t>
      </w:r>
      <w:hyperlink r:id="rId31" w:history="1">
        <w:r w:rsidRPr="00883E0C">
          <w:rPr>
            <w:rStyle w:val="Lienhypertexte"/>
            <w:rFonts w:asciiTheme="minorHAnsi" w:hAnsiTheme="minorHAnsi" w:cstheme="minorHAnsi"/>
          </w:rPr>
          <w:t>accès des femmes handicapées aux systèmes judiciaires ainsi qu</w:t>
        </w:r>
      </w:hyperlink>
      <w:r w:rsidRPr="00883E0C">
        <w:rPr>
          <w:rStyle w:val="Appelnotedebasdep"/>
          <w:rFonts w:asciiTheme="minorHAnsi" w:hAnsiTheme="minorHAnsi" w:cstheme="minorHAnsi"/>
        </w:rPr>
        <w:footnoteReference w:id="17"/>
      </w:r>
      <w:r w:rsidR="00EA09EE" w:rsidRPr="00883E0C">
        <w:rPr>
          <w:rFonts w:asciiTheme="minorHAnsi" w:hAnsiTheme="minorHAnsi" w:cstheme="minorHAnsi"/>
          <w:bCs/>
          <w:iCs/>
          <w:lang w:val="en-US"/>
        </w:rPr>
        <w:t>'</w:t>
      </w:r>
      <w:r w:rsidRPr="00883E0C">
        <w:rPr>
          <w:rFonts w:asciiTheme="minorHAnsi" w:hAnsiTheme="minorHAnsi" w:cstheme="minorHAnsi"/>
        </w:rPr>
        <w:t>à l'</w:t>
      </w:r>
      <w:r w:rsidR="00EA09EE" w:rsidRPr="00883E0C">
        <w:rPr>
          <w:rFonts w:asciiTheme="minorHAnsi" w:hAnsiTheme="minorHAnsi" w:cstheme="minorHAnsi"/>
          <w:bCs/>
          <w:iCs/>
          <w:lang w:val="en-US"/>
        </w:rPr>
        <w:t xml:space="preserve">abrogation de toutes les lois qui empêchent ou dissuadent les femmes de signaler les violences sexistes, comme les lois sur la tutelle qui privent les femmes de leur capacité juridique ou limitent la capacité des femmes handicapées à témoigner devant les tribunaux. </w:t>
      </w:r>
      <w:r w:rsidR="00EA09EE" w:rsidRPr="00883E0C">
        <w:rPr>
          <w:rStyle w:val="Appelnotedebasdep"/>
          <w:rFonts w:asciiTheme="minorHAnsi" w:hAnsiTheme="minorHAnsi" w:cstheme="minorHAnsi"/>
          <w:bCs/>
          <w:iCs/>
          <w:lang w:val="en-US"/>
        </w:rPr>
        <w:footnoteReference w:id="18"/>
      </w:r>
    </w:p>
    <w:p w:rsidR="005C3B43" w:rsidRPr="00883E0C" w:rsidRDefault="005C3B43" w:rsidP="00602BB2">
      <w:pPr>
        <w:jc w:val="both"/>
        <w:rPr>
          <w:rFonts w:asciiTheme="minorHAnsi" w:hAnsiTheme="minorHAnsi" w:cstheme="minorHAnsi"/>
          <w:bCs/>
          <w:iCs/>
        </w:rPr>
      </w:pPr>
    </w:p>
    <w:p w:rsidR="00D766B5" w:rsidRDefault="00AA5CF5">
      <w:pPr>
        <w:pStyle w:val="Paragraphedeliste"/>
        <w:rPr>
          <w:rFonts w:asciiTheme="minorHAnsi" w:hAnsiTheme="minorHAnsi" w:cstheme="minorHAnsi"/>
          <w:b/>
          <w:i/>
        </w:rPr>
      </w:pPr>
      <w:r w:rsidRPr="00883E0C">
        <w:rPr>
          <w:rFonts w:asciiTheme="minorHAnsi" w:hAnsiTheme="minorHAnsi" w:cstheme="minorHAnsi"/>
          <w:b/>
          <w:i/>
        </w:rPr>
        <w:t xml:space="preserve">           Un engagement renouvelé en faveur de l'égalité des sexes </w:t>
      </w:r>
      <w:r w:rsidR="00097182" w:rsidRPr="00883E0C">
        <w:rPr>
          <w:rFonts w:asciiTheme="minorHAnsi" w:hAnsiTheme="minorHAnsi" w:cstheme="minorHAnsi"/>
          <w:b/>
          <w:i/>
        </w:rPr>
        <w:t>pour les femmes</w:t>
      </w:r>
    </w:p>
    <w:p w:rsidR="00BB3CBF" w:rsidRPr="00883E0C" w:rsidRDefault="00BB3CBF" w:rsidP="00602BB2">
      <w:pPr>
        <w:jc w:val="both"/>
        <w:rPr>
          <w:rFonts w:asciiTheme="minorHAnsi" w:hAnsiTheme="minorHAnsi" w:cstheme="minorHAnsi"/>
        </w:rPr>
      </w:pPr>
    </w:p>
    <w:p w:rsidR="00D766B5" w:rsidRDefault="001C7909">
      <w:pPr>
        <w:jc w:val="both"/>
        <w:rPr>
          <w:rFonts w:asciiTheme="minorHAnsi" w:hAnsiTheme="minorHAnsi" w:cstheme="minorHAnsi"/>
        </w:rPr>
      </w:pPr>
      <w:r w:rsidRPr="00883E0C">
        <w:rPr>
          <w:rFonts w:asciiTheme="minorHAnsi" w:hAnsiTheme="minorHAnsi" w:cstheme="minorHAnsi"/>
        </w:rPr>
        <w:t xml:space="preserve">Les </w:t>
      </w:r>
      <w:r w:rsidR="001F6D4B" w:rsidRPr="00883E0C">
        <w:rPr>
          <w:rFonts w:asciiTheme="minorHAnsi" w:hAnsiTheme="minorHAnsi" w:cstheme="minorHAnsi"/>
        </w:rPr>
        <w:t xml:space="preserve">États doivent reconnaître les </w:t>
      </w:r>
      <w:r w:rsidR="00DF22AC" w:rsidRPr="00883E0C">
        <w:rPr>
          <w:rFonts w:asciiTheme="minorHAnsi" w:hAnsiTheme="minorHAnsi" w:cstheme="minorHAnsi"/>
        </w:rPr>
        <w:t xml:space="preserve">femmes et les filles handicapées comme des titulaires de droits humains et </w:t>
      </w:r>
      <w:r w:rsidR="000703A0" w:rsidRPr="00883E0C">
        <w:rPr>
          <w:rFonts w:asciiTheme="minorHAnsi" w:hAnsiTheme="minorHAnsi" w:cstheme="minorHAnsi"/>
        </w:rPr>
        <w:t xml:space="preserve">leur donner les moyens de participer à </w:t>
      </w:r>
      <w:r w:rsidR="00DF22AC" w:rsidRPr="00883E0C">
        <w:rPr>
          <w:rFonts w:asciiTheme="minorHAnsi" w:hAnsiTheme="minorHAnsi" w:cstheme="minorHAnsi"/>
        </w:rPr>
        <w:t xml:space="preserve">toutes les initiatives et mesures visant à faire de l'égalité des sexes une réalité. </w:t>
      </w:r>
      <w:r w:rsidRPr="00883E0C">
        <w:rPr>
          <w:rFonts w:asciiTheme="minorHAnsi" w:hAnsiTheme="minorHAnsi" w:cstheme="minorHAnsi"/>
        </w:rPr>
        <w:t>Aujourd'hui, le Comité appelle toutes les parties prenantes à renouveler et à maintenir leur engagement à combattre l'</w:t>
      </w:r>
      <w:r w:rsidR="00007809" w:rsidRPr="00883E0C">
        <w:rPr>
          <w:rFonts w:asciiTheme="minorHAnsi" w:hAnsiTheme="minorHAnsi" w:cstheme="minorHAnsi"/>
        </w:rPr>
        <w:t xml:space="preserve">inégalité entre les sexes et à éliminer la </w:t>
      </w:r>
      <w:r w:rsidRPr="00883E0C">
        <w:rPr>
          <w:rFonts w:asciiTheme="minorHAnsi" w:hAnsiTheme="minorHAnsi" w:cstheme="minorHAnsi"/>
        </w:rPr>
        <w:t xml:space="preserve">violence </w:t>
      </w:r>
      <w:r w:rsidR="00AA5CF5" w:rsidRPr="00883E0C">
        <w:rPr>
          <w:rFonts w:asciiTheme="minorHAnsi" w:hAnsiTheme="minorHAnsi" w:cstheme="minorHAnsi"/>
        </w:rPr>
        <w:t xml:space="preserve">sexiste </w:t>
      </w:r>
      <w:r w:rsidRPr="00883E0C">
        <w:rPr>
          <w:rFonts w:asciiTheme="minorHAnsi" w:hAnsiTheme="minorHAnsi" w:cstheme="minorHAnsi"/>
        </w:rPr>
        <w:t>contre les femmes et les filles handicapées</w:t>
      </w:r>
      <w:r w:rsidR="00AA5CF5" w:rsidRPr="00883E0C">
        <w:rPr>
          <w:rFonts w:asciiTheme="minorHAnsi" w:hAnsiTheme="minorHAnsi" w:cstheme="minorHAnsi"/>
        </w:rPr>
        <w:t xml:space="preserve">. </w:t>
      </w:r>
      <w:r w:rsidR="007457F8" w:rsidRPr="00883E0C">
        <w:rPr>
          <w:rFonts w:asciiTheme="minorHAnsi" w:hAnsiTheme="minorHAnsi" w:cstheme="minorHAnsi"/>
          <w:b/>
          <w:bCs/>
          <w:i/>
          <w:iCs/>
        </w:rPr>
        <w:t>Rappelant les recommandations formulées dans l'</w:t>
      </w:r>
      <w:hyperlink r:id="rId32" w:history="1">
        <w:r w:rsidR="007457F8" w:rsidRPr="00883E0C">
          <w:rPr>
            <w:rStyle w:val="Lienhypertexte"/>
            <w:rFonts w:asciiTheme="minorHAnsi" w:hAnsiTheme="minorHAnsi" w:cstheme="minorHAnsi"/>
            <w:b/>
            <w:bCs/>
            <w:i/>
            <w:iCs/>
          </w:rPr>
          <w:t xml:space="preserve">Observation générale n° 3 </w:t>
        </w:r>
      </w:hyperlink>
      <w:r w:rsidR="00097182" w:rsidRPr="00883E0C">
        <w:rPr>
          <w:rFonts w:asciiTheme="minorHAnsi" w:hAnsiTheme="minorHAnsi" w:cstheme="minorHAnsi"/>
          <w:b/>
          <w:bCs/>
          <w:i/>
          <w:iCs/>
        </w:rPr>
        <w:t xml:space="preserve">du Comité CDPH </w:t>
      </w:r>
      <w:hyperlink r:id="rId33" w:history="1">
        <w:r w:rsidR="007457F8" w:rsidRPr="00883E0C">
          <w:rPr>
            <w:rStyle w:val="Lienhypertexte"/>
            <w:rFonts w:asciiTheme="minorHAnsi" w:hAnsiTheme="minorHAnsi" w:cstheme="minorHAnsi"/>
            <w:b/>
            <w:bCs/>
            <w:i/>
            <w:iCs/>
          </w:rPr>
          <w:t>sur les femmes et les filles handicapées</w:t>
        </w:r>
      </w:hyperlink>
      <w:r w:rsidR="007457F8" w:rsidRPr="00883E0C">
        <w:rPr>
          <w:rFonts w:asciiTheme="minorHAnsi" w:hAnsiTheme="minorHAnsi" w:cstheme="minorHAnsi"/>
          <w:b/>
          <w:bCs/>
          <w:i/>
          <w:iCs/>
        </w:rPr>
        <w:t xml:space="preserve">, la </w:t>
      </w:r>
      <w:r w:rsidR="00097182" w:rsidRPr="00883E0C">
        <w:rPr>
          <w:rFonts w:asciiTheme="minorHAnsi" w:hAnsiTheme="minorHAnsi" w:cstheme="minorHAnsi"/>
          <w:b/>
          <w:bCs/>
          <w:i/>
          <w:iCs/>
        </w:rPr>
        <w:t xml:space="preserve">Recommandation générale n° 18 du Comité CEDAW sur les femmes handicapées et la jurisprudence ultérieure, les </w:t>
      </w:r>
      <w:r w:rsidR="00062AE9">
        <w:rPr>
          <w:rFonts w:asciiTheme="minorHAnsi" w:hAnsiTheme="minorHAnsi" w:cstheme="minorHAnsi"/>
          <w:b/>
          <w:i/>
        </w:rPr>
        <w:t xml:space="preserve">experts </w:t>
      </w:r>
      <w:r w:rsidR="00062AE9">
        <w:rPr>
          <w:rFonts w:asciiTheme="minorHAnsi" w:hAnsiTheme="minorHAnsi" w:cstheme="minorHAnsi"/>
          <w:b/>
          <w:bCs/>
          <w:i/>
          <w:iCs/>
        </w:rPr>
        <w:t xml:space="preserve">internationaux </w:t>
      </w:r>
      <w:r w:rsidR="00337D8C" w:rsidRPr="00883E0C">
        <w:rPr>
          <w:rFonts w:asciiTheme="minorHAnsi" w:hAnsiTheme="minorHAnsi" w:cstheme="minorHAnsi"/>
          <w:b/>
          <w:i/>
        </w:rPr>
        <w:t xml:space="preserve">appellent </w:t>
      </w:r>
      <w:r w:rsidR="002A07AB" w:rsidRPr="00883E0C">
        <w:rPr>
          <w:rFonts w:asciiTheme="minorHAnsi" w:hAnsiTheme="minorHAnsi" w:cstheme="minorHAnsi"/>
          <w:b/>
          <w:i/>
        </w:rPr>
        <w:t xml:space="preserve">les </w:t>
      </w:r>
      <w:r w:rsidR="00270249" w:rsidRPr="00883E0C">
        <w:rPr>
          <w:rFonts w:asciiTheme="minorHAnsi" w:hAnsiTheme="minorHAnsi" w:cstheme="minorHAnsi"/>
          <w:b/>
          <w:i/>
        </w:rPr>
        <w:t xml:space="preserve">États parties aux Conventions et les </w:t>
      </w:r>
      <w:r w:rsidR="00337D8C" w:rsidRPr="00883E0C">
        <w:rPr>
          <w:rFonts w:asciiTheme="minorHAnsi" w:hAnsiTheme="minorHAnsi" w:cstheme="minorHAnsi"/>
          <w:b/>
          <w:i/>
        </w:rPr>
        <w:t xml:space="preserve">parties prenantes à </w:t>
      </w:r>
      <w:r w:rsidR="00270249" w:rsidRPr="00883E0C">
        <w:rPr>
          <w:rFonts w:asciiTheme="minorHAnsi" w:hAnsiTheme="minorHAnsi" w:cstheme="minorHAnsi"/>
          <w:b/>
          <w:i/>
        </w:rPr>
        <w:t>:</w:t>
      </w:r>
    </w:p>
    <w:p w:rsidR="00270249" w:rsidRPr="00883E0C" w:rsidRDefault="00270249" w:rsidP="00270249">
      <w:pPr>
        <w:jc w:val="both"/>
        <w:rPr>
          <w:rFonts w:asciiTheme="minorHAnsi" w:hAnsiTheme="minorHAnsi" w:cstheme="minorHAnsi"/>
          <w:b/>
        </w:rPr>
      </w:pPr>
    </w:p>
    <w:p w:rsidR="00D766B5" w:rsidRDefault="001F6D4B">
      <w:pPr>
        <w:ind w:firstLine="720"/>
        <w:jc w:val="both"/>
        <w:rPr>
          <w:rFonts w:asciiTheme="minorHAnsi" w:hAnsiTheme="minorHAnsi" w:cstheme="minorHAnsi"/>
        </w:rPr>
      </w:pPr>
      <w:r w:rsidRPr="00883E0C">
        <w:rPr>
          <w:rFonts w:asciiTheme="minorHAnsi" w:hAnsiTheme="minorHAnsi" w:cstheme="minorHAnsi"/>
        </w:rPr>
        <w:t xml:space="preserve">(a) </w:t>
      </w:r>
      <w:r w:rsidRPr="00883E0C">
        <w:rPr>
          <w:rFonts w:asciiTheme="minorHAnsi" w:hAnsiTheme="minorHAnsi" w:cstheme="minorHAnsi"/>
        </w:rPr>
        <w:tab/>
      </w:r>
      <w:r w:rsidRPr="00883E0C">
        <w:rPr>
          <w:rFonts w:asciiTheme="minorHAnsi" w:hAnsiTheme="minorHAnsi" w:cstheme="minorHAnsi"/>
        </w:rPr>
        <w:t xml:space="preserve">Adopter des cadres juridiques et politiques complets pour lutter contre la violence sexiste à l'égard des femmes et des filles handicapées, dans les sphères privée et </w:t>
      </w:r>
      <w:r w:rsidRPr="00883E0C">
        <w:rPr>
          <w:rFonts w:asciiTheme="minorHAnsi" w:hAnsiTheme="minorHAnsi" w:cstheme="minorHAnsi"/>
        </w:rPr>
        <w:lastRenderedPageBreak/>
        <w:t xml:space="preserve">publique, en </w:t>
      </w:r>
      <w:r w:rsidR="002A07AB" w:rsidRPr="00883E0C">
        <w:rPr>
          <w:rFonts w:asciiTheme="minorHAnsi" w:hAnsiTheme="minorHAnsi" w:cstheme="minorHAnsi"/>
        </w:rPr>
        <w:t xml:space="preserve">veillant à ce que toutes les formes de violence sexiste à l'égard des femmes et des filles handicapées soient définies de </w:t>
      </w:r>
      <w:r w:rsidR="00A66179" w:rsidRPr="00883E0C">
        <w:rPr>
          <w:rFonts w:asciiTheme="minorHAnsi" w:hAnsiTheme="minorHAnsi" w:cstheme="minorHAnsi"/>
        </w:rPr>
        <w:t xml:space="preserve">manière appropriée </w:t>
      </w:r>
      <w:r w:rsidR="002A07AB" w:rsidRPr="00883E0C">
        <w:rPr>
          <w:rFonts w:asciiTheme="minorHAnsi" w:hAnsiTheme="minorHAnsi" w:cstheme="minorHAnsi"/>
        </w:rPr>
        <w:t xml:space="preserve">comme des infractions pénales </w:t>
      </w:r>
      <w:r w:rsidRPr="00883E0C">
        <w:rPr>
          <w:rFonts w:asciiTheme="minorHAnsi" w:hAnsiTheme="minorHAnsi" w:cstheme="minorHAnsi"/>
        </w:rPr>
        <w:t>;</w:t>
      </w:r>
    </w:p>
    <w:p w:rsidR="00007809" w:rsidRPr="00883E0C" w:rsidRDefault="00007809" w:rsidP="00007809">
      <w:pPr>
        <w:ind w:firstLine="720"/>
        <w:jc w:val="both"/>
        <w:rPr>
          <w:rFonts w:asciiTheme="minorHAnsi" w:hAnsiTheme="minorHAnsi" w:cstheme="minorHAnsi"/>
        </w:rPr>
      </w:pPr>
    </w:p>
    <w:p w:rsidR="00D766B5" w:rsidRDefault="001F6D4B">
      <w:pPr>
        <w:ind w:firstLine="720"/>
        <w:jc w:val="both"/>
        <w:rPr>
          <w:rFonts w:asciiTheme="minorHAnsi" w:hAnsiTheme="minorHAnsi" w:cstheme="minorHAnsi"/>
          <w:b/>
        </w:rPr>
      </w:pPr>
      <w:r w:rsidRPr="00883E0C">
        <w:rPr>
          <w:rFonts w:asciiTheme="minorHAnsi" w:hAnsiTheme="minorHAnsi" w:cstheme="minorHAnsi"/>
        </w:rPr>
        <w:t>(b)</w:t>
      </w:r>
      <w:r w:rsidRPr="00883E0C">
        <w:rPr>
          <w:rFonts w:asciiTheme="minorHAnsi" w:hAnsiTheme="minorHAnsi" w:cstheme="minorHAnsi"/>
        </w:rPr>
        <w:tab/>
        <w:t xml:space="preserve">Assurer </w:t>
      </w:r>
      <w:r w:rsidR="002A07AB" w:rsidRPr="00883E0C">
        <w:rPr>
          <w:rFonts w:asciiTheme="minorHAnsi" w:hAnsiTheme="minorHAnsi" w:cstheme="minorHAnsi"/>
        </w:rPr>
        <w:t xml:space="preserve">la </w:t>
      </w:r>
      <w:r w:rsidR="002A07AB" w:rsidRPr="00883E0C">
        <w:rPr>
          <w:rFonts w:asciiTheme="minorHAnsi" w:hAnsiTheme="minorHAnsi" w:cstheme="minorHAnsi"/>
          <w:bCs/>
          <w:iCs/>
        </w:rPr>
        <w:t xml:space="preserve">participation et l'implication significatives des femmes et des filles handicapées </w:t>
      </w:r>
      <w:r w:rsidR="00A66179" w:rsidRPr="00883E0C">
        <w:rPr>
          <w:rFonts w:asciiTheme="minorHAnsi" w:hAnsiTheme="minorHAnsi" w:cstheme="minorHAnsi"/>
          <w:bCs/>
          <w:iCs/>
        </w:rPr>
        <w:t xml:space="preserve">et des organisations qui les représentent </w:t>
      </w:r>
      <w:r w:rsidR="002A07AB" w:rsidRPr="00883E0C">
        <w:rPr>
          <w:rFonts w:asciiTheme="minorHAnsi" w:hAnsiTheme="minorHAnsi" w:cstheme="minorHAnsi"/>
          <w:bCs/>
          <w:iCs/>
        </w:rPr>
        <w:t xml:space="preserve">dans la conception de </w:t>
      </w:r>
      <w:r w:rsidR="00A66179" w:rsidRPr="00883E0C">
        <w:rPr>
          <w:rFonts w:asciiTheme="minorHAnsi" w:hAnsiTheme="minorHAnsi" w:cstheme="minorHAnsi"/>
          <w:bCs/>
          <w:iCs/>
        </w:rPr>
        <w:t xml:space="preserve">lois, de politiques et de </w:t>
      </w:r>
      <w:r w:rsidR="002A07AB" w:rsidRPr="00883E0C">
        <w:rPr>
          <w:rFonts w:asciiTheme="minorHAnsi" w:hAnsiTheme="minorHAnsi" w:cstheme="minorHAnsi"/>
          <w:bCs/>
          <w:iCs/>
        </w:rPr>
        <w:t>stratégies visant à prévenir et à éliminer toutes les formes de violence sexiste à l'égard des femmes</w:t>
      </w:r>
      <w:r w:rsidR="009C1AB1" w:rsidRPr="00883E0C">
        <w:rPr>
          <w:rFonts w:asciiTheme="minorHAnsi" w:hAnsiTheme="minorHAnsi" w:cstheme="minorHAnsi"/>
          <w:bCs/>
          <w:iCs/>
        </w:rPr>
        <w:t xml:space="preserve">, </w:t>
      </w:r>
      <w:r w:rsidR="002A07AB" w:rsidRPr="00883E0C">
        <w:rPr>
          <w:rFonts w:asciiTheme="minorHAnsi" w:hAnsiTheme="minorHAnsi" w:cstheme="minorHAnsi"/>
          <w:bCs/>
          <w:iCs/>
        </w:rPr>
        <w:t>à fournir une réparation adéquate aux femmes et aux filles handicapées</w:t>
      </w:r>
      <w:r w:rsidR="00A66179" w:rsidRPr="00883E0C">
        <w:rPr>
          <w:rFonts w:asciiTheme="minorHAnsi" w:hAnsiTheme="minorHAnsi" w:cstheme="minorHAnsi"/>
          <w:bCs/>
          <w:iCs/>
        </w:rPr>
        <w:t xml:space="preserve">, </w:t>
      </w:r>
      <w:r w:rsidR="002A07AB" w:rsidRPr="00883E0C">
        <w:rPr>
          <w:vertAlign w:val="superscript"/>
        </w:rPr>
        <w:footnoteReference w:id="19"/>
      </w:r>
      <w:r w:rsidRPr="00883E0C">
        <w:rPr>
          <w:rFonts w:asciiTheme="minorHAnsi" w:hAnsiTheme="minorHAnsi" w:cstheme="minorHAnsi"/>
          <w:bCs/>
          <w:iCs/>
        </w:rPr>
        <w:t xml:space="preserve">et à </w:t>
      </w:r>
      <w:r w:rsidRPr="00883E0C">
        <w:rPr>
          <w:rFonts w:asciiTheme="minorHAnsi" w:hAnsiTheme="minorHAnsi" w:cstheme="minorHAnsi"/>
        </w:rPr>
        <w:t>mener des campagnes de sens</w:t>
      </w:r>
      <w:r w:rsidRPr="00883E0C">
        <w:rPr>
          <w:rFonts w:asciiTheme="minorHAnsi" w:hAnsiTheme="minorHAnsi" w:cstheme="minorHAnsi"/>
        </w:rPr>
        <w:t>ibilisation ciblant les femmes et les filles handicapées sur la violence sexiste et les recours disponibles ;</w:t>
      </w:r>
    </w:p>
    <w:p w:rsidR="002A07AB" w:rsidRPr="00883E0C" w:rsidRDefault="002A07AB" w:rsidP="002A07AB">
      <w:pPr>
        <w:jc w:val="both"/>
        <w:rPr>
          <w:rFonts w:asciiTheme="minorHAnsi" w:hAnsiTheme="minorHAnsi" w:cstheme="minorHAnsi"/>
          <w:b/>
        </w:rPr>
      </w:pPr>
    </w:p>
    <w:p w:rsidR="00D766B5" w:rsidRDefault="001F6D4B">
      <w:pPr>
        <w:ind w:firstLine="720"/>
        <w:jc w:val="both"/>
        <w:rPr>
          <w:rFonts w:asciiTheme="minorHAnsi" w:hAnsiTheme="minorHAnsi" w:cstheme="minorHAnsi"/>
          <w:lang w:val="en-US"/>
        </w:rPr>
      </w:pPr>
      <w:r w:rsidRPr="00883E0C">
        <w:rPr>
          <w:rFonts w:asciiTheme="minorHAnsi" w:hAnsiTheme="minorHAnsi" w:cstheme="minorHAnsi"/>
          <w:bCs/>
          <w:iCs/>
          <w:lang w:val="en-US"/>
        </w:rPr>
        <w:t>(c</w:t>
      </w:r>
      <w:r w:rsidR="00270249" w:rsidRPr="00883E0C">
        <w:rPr>
          <w:rFonts w:asciiTheme="minorHAnsi" w:hAnsiTheme="minorHAnsi" w:cstheme="minorHAnsi"/>
          <w:bCs/>
          <w:iCs/>
          <w:lang w:val="en-US"/>
        </w:rPr>
        <w:t xml:space="preserve">) </w:t>
      </w:r>
      <w:r w:rsidRPr="00883E0C">
        <w:rPr>
          <w:rFonts w:asciiTheme="minorHAnsi" w:hAnsiTheme="minorHAnsi" w:cstheme="minorHAnsi"/>
          <w:bCs/>
          <w:iCs/>
          <w:lang w:val="en-US"/>
        </w:rPr>
        <w:tab/>
      </w:r>
      <w:r w:rsidR="0005023D" w:rsidRPr="00883E0C">
        <w:rPr>
          <w:rFonts w:asciiTheme="minorHAnsi" w:hAnsiTheme="minorHAnsi" w:cstheme="minorHAnsi"/>
          <w:bCs/>
          <w:iCs/>
          <w:lang w:val="en-US"/>
        </w:rPr>
        <w:t xml:space="preserve">Intégrer la </w:t>
      </w:r>
      <w:r w:rsidR="002A07AB" w:rsidRPr="00883E0C">
        <w:rPr>
          <w:rFonts w:asciiTheme="minorHAnsi" w:hAnsiTheme="minorHAnsi" w:cstheme="minorHAnsi"/>
          <w:bCs/>
          <w:iCs/>
          <w:lang w:val="en-US"/>
        </w:rPr>
        <w:t xml:space="preserve">perspective de genre dans toutes les législations </w:t>
      </w:r>
      <w:r w:rsidR="0005023D" w:rsidRPr="00883E0C">
        <w:rPr>
          <w:rFonts w:asciiTheme="minorHAnsi" w:hAnsiTheme="minorHAnsi" w:cstheme="minorHAnsi"/>
          <w:bCs/>
          <w:iCs/>
          <w:lang w:val="en-US"/>
        </w:rPr>
        <w:t>générales</w:t>
      </w:r>
      <w:r w:rsidR="002A07AB" w:rsidRPr="00883E0C">
        <w:rPr>
          <w:rFonts w:asciiTheme="minorHAnsi" w:hAnsiTheme="minorHAnsi" w:cstheme="minorHAnsi"/>
          <w:bCs/>
          <w:iCs/>
          <w:lang w:val="en-US"/>
        </w:rPr>
        <w:t>, les politiques et programmes publics</w:t>
      </w:r>
      <w:r w:rsidR="0005023D" w:rsidRPr="00883E0C">
        <w:rPr>
          <w:rFonts w:asciiTheme="minorHAnsi" w:hAnsiTheme="minorHAnsi" w:cstheme="minorHAnsi"/>
          <w:bCs/>
          <w:iCs/>
          <w:lang w:val="en-US"/>
        </w:rPr>
        <w:t xml:space="preserve">, </w:t>
      </w:r>
      <w:r w:rsidR="002A07AB" w:rsidRPr="00883E0C">
        <w:rPr>
          <w:rFonts w:asciiTheme="minorHAnsi" w:hAnsiTheme="minorHAnsi" w:cstheme="minorHAnsi"/>
          <w:bCs/>
          <w:iCs/>
          <w:lang w:val="en-US"/>
        </w:rPr>
        <w:t xml:space="preserve">et dans tous les </w:t>
      </w:r>
      <w:r w:rsidR="00610E7D" w:rsidRPr="00883E0C">
        <w:rPr>
          <w:rFonts w:asciiTheme="minorHAnsi" w:hAnsiTheme="minorHAnsi" w:cstheme="minorHAnsi"/>
          <w:bCs/>
          <w:iCs/>
          <w:lang w:val="en-US"/>
        </w:rPr>
        <w:t xml:space="preserve">cadres </w:t>
      </w:r>
      <w:r w:rsidR="002A07AB" w:rsidRPr="00883E0C">
        <w:rPr>
          <w:rFonts w:asciiTheme="minorHAnsi" w:hAnsiTheme="minorHAnsi" w:cstheme="minorHAnsi"/>
          <w:bCs/>
          <w:iCs/>
          <w:lang w:val="en-US"/>
        </w:rPr>
        <w:t xml:space="preserve">visant à promouvoir la pleine jouissance des droits de l'homme et des libertés fondamentales par les personnes handicapées </w:t>
      </w:r>
      <w:r w:rsidR="0005023D" w:rsidRPr="00883E0C">
        <w:rPr>
          <w:rFonts w:asciiTheme="minorHAnsi" w:hAnsiTheme="minorHAnsi" w:cstheme="minorHAnsi"/>
          <w:lang w:val="en-US"/>
        </w:rPr>
        <w:t>;</w:t>
      </w:r>
    </w:p>
    <w:p w:rsidR="00474059" w:rsidRPr="00883E0C" w:rsidRDefault="00474059" w:rsidP="00474059">
      <w:pPr>
        <w:ind w:firstLine="720"/>
        <w:jc w:val="both"/>
        <w:rPr>
          <w:rFonts w:asciiTheme="minorHAnsi" w:hAnsiTheme="minorHAnsi" w:cstheme="minorHAnsi"/>
          <w:lang w:val="en-US"/>
        </w:rPr>
      </w:pPr>
    </w:p>
    <w:p w:rsidR="00D766B5" w:rsidRDefault="001F6D4B">
      <w:pPr>
        <w:ind w:firstLine="720"/>
        <w:jc w:val="both"/>
        <w:rPr>
          <w:rFonts w:asciiTheme="minorHAnsi" w:hAnsiTheme="minorHAnsi" w:cstheme="minorHAnsi"/>
        </w:rPr>
      </w:pPr>
      <w:r w:rsidRPr="00883E0C">
        <w:rPr>
          <w:rFonts w:asciiTheme="minorHAnsi" w:hAnsiTheme="minorHAnsi" w:cstheme="minorHAnsi"/>
          <w:lang w:val="en-US"/>
        </w:rPr>
        <w:t xml:space="preserve">(d) </w:t>
      </w:r>
      <w:r w:rsidRPr="00883E0C">
        <w:rPr>
          <w:rFonts w:asciiTheme="minorHAnsi" w:hAnsiTheme="minorHAnsi" w:cstheme="minorHAnsi"/>
          <w:lang w:val="en-US"/>
        </w:rPr>
        <w:tab/>
        <w:t xml:space="preserve">Reconnaître </w:t>
      </w:r>
      <w:r w:rsidR="00474059" w:rsidRPr="00883E0C">
        <w:rPr>
          <w:rFonts w:asciiTheme="minorHAnsi" w:hAnsiTheme="minorHAnsi" w:cstheme="minorHAnsi"/>
          <w:lang w:val="en-US"/>
        </w:rPr>
        <w:t xml:space="preserve">et inclure </w:t>
      </w:r>
      <w:r w:rsidR="00A66179" w:rsidRPr="00883E0C">
        <w:rPr>
          <w:rFonts w:asciiTheme="minorHAnsi" w:hAnsiTheme="minorHAnsi" w:cstheme="minorHAnsi"/>
          <w:lang w:val="en-US"/>
        </w:rPr>
        <w:t xml:space="preserve">activement </w:t>
      </w:r>
      <w:r w:rsidR="00474059" w:rsidRPr="00883E0C">
        <w:rPr>
          <w:rFonts w:asciiTheme="minorHAnsi" w:hAnsiTheme="minorHAnsi" w:cstheme="minorHAnsi"/>
          <w:lang w:val="en-US"/>
        </w:rPr>
        <w:t xml:space="preserve">les femmes et les filles handicapées </w:t>
      </w:r>
      <w:r w:rsidRPr="00883E0C">
        <w:rPr>
          <w:rFonts w:asciiTheme="minorHAnsi" w:hAnsiTheme="minorHAnsi" w:cstheme="minorHAnsi"/>
          <w:lang w:val="en-US"/>
        </w:rPr>
        <w:t xml:space="preserve">et les organisations qui les représentent dans les stratégies en faveur de l'égalité des sexes et des </w:t>
      </w:r>
      <w:r w:rsidR="00097182" w:rsidRPr="00883E0C">
        <w:rPr>
          <w:rFonts w:asciiTheme="minorHAnsi" w:hAnsiTheme="minorHAnsi" w:cstheme="minorHAnsi"/>
          <w:lang w:val="en-US"/>
        </w:rPr>
        <w:t xml:space="preserve">droits des femmes et de </w:t>
      </w:r>
      <w:r w:rsidRPr="00883E0C">
        <w:rPr>
          <w:rFonts w:asciiTheme="minorHAnsi" w:hAnsiTheme="minorHAnsi" w:cstheme="minorHAnsi"/>
          <w:lang w:val="en-US"/>
        </w:rPr>
        <w:t xml:space="preserve">l'élimination de toutes les formes de violence à l'égard des femmes, y compris </w:t>
      </w:r>
      <w:r w:rsidR="00F30932" w:rsidRPr="00883E0C">
        <w:rPr>
          <w:rFonts w:asciiTheme="minorHAnsi" w:hAnsiTheme="minorHAnsi" w:cstheme="minorHAnsi"/>
          <w:lang w:val="en-US"/>
        </w:rPr>
        <w:t xml:space="preserve">dans les </w:t>
      </w:r>
      <w:r w:rsidRPr="00883E0C">
        <w:rPr>
          <w:rFonts w:asciiTheme="minorHAnsi" w:hAnsiTheme="minorHAnsi" w:cstheme="minorHAnsi"/>
          <w:lang w:val="en-US"/>
        </w:rPr>
        <w:t>initiatives de la société civile ;</w:t>
      </w:r>
    </w:p>
    <w:p w:rsidR="00270249" w:rsidRPr="00883E0C" w:rsidRDefault="00270249" w:rsidP="006018FF">
      <w:pPr>
        <w:ind w:firstLine="720"/>
        <w:jc w:val="both"/>
        <w:rPr>
          <w:rFonts w:asciiTheme="minorHAnsi" w:hAnsiTheme="minorHAnsi" w:cstheme="minorHAnsi"/>
        </w:rPr>
      </w:pPr>
    </w:p>
    <w:p w:rsidR="00D766B5" w:rsidRDefault="001F6D4B">
      <w:pPr>
        <w:ind w:firstLine="720"/>
        <w:jc w:val="both"/>
        <w:rPr>
          <w:rFonts w:asciiTheme="minorHAnsi" w:hAnsiTheme="minorHAnsi" w:cstheme="minorHAnsi"/>
        </w:rPr>
      </w:pPr>
      <w:r w:rsidRPr="00883E0C">
        <w:rPr>
          <w:rFonts w:asciiTheme="minorHAnsi" w:hAnsiTheme="minorHAnsi" w:cstheme="minorHAnsi"/>
        </w:rPr>
        <w:t>(e)</w:t>
      </w:r>
      <w:r w:rsidRPr="00883E0C">
        <w:rPr>
          <w:rFonts w:asciiTheme="minorHAnsi" w:hAnsiTheme="minorHAnsi" w:cstheme="minorHAnsi"/>
        </w:rPr>
        <w:tab/>
      </w:r>
      <w:r w:rsidR="00245FFC" w:rsidRPr="00883E0C">
        <w:rPr>
          <w:rFonts w:asciiTheme="minorHAnsi" w:hAnsiTheme="minorHAnsi" w:cstheme="minorHAnsi"/>
        </w:rPr>
        <w:t xml:space="preserve">Prendre des mesures pour </w:t>
      </w:r>
      <w:r w:rsidR="00A66179" w:rsidRPr="00883E0C">
        <w:rPr>
          <w:rFonts w:asciiTheme="minorHAnsi" w:hAnsiTheme="minorHAnsi" w:cstheme="minorHAnsi"/>
        </w:rPr>
        <w:t xml:space="preserve">combattre les stéréotypes, sensibiliser </w:t>
      </w:r>
      <w:r w:rsidR="00245FFC" w:rsidRPr="00883E0C">
        <w:rPr>
          <w:rFonts w:asciiTheme="minorHAnsi" w:hAnsiTheme="minorHAnsi" w:cstheme="minorHAnsi"/>
        </w:rPr>
        <w:t xml:space="preserve">et </w:t>
      </w:r>
      <w:r w:rsidR="00A66179" w:rsidRPr="00883E0C">
        <w:rPr>
          <w:rFonts w:asciiTheme="minorHAnsi" w:hAnsiTheme="minorHAnsi" w:cstheme="minorHAnsi"/>
        </w:rPr>
        <w:t xml:space="preserve">changer les perceptions et les </w:t>
      </w:r>
      <w:r w:rsidR="00245FFC" w:rsidRPr="00883E0C">
        <w:rPr>
          <w:rFonts w:asciiTheme="minorHAnsi" w:hAnsiTheme="minorHAnsi" w:cstheme="minorHAnsi"/>
        </w:rPr>
        <w:t xml:space="preserve">attitudes des enseignants, des </w:t>
      </w:r>
      <w:r w:rsidR="00A66179" w:rsidRPr="00883E0C">
        <w:rPr>
          <w:rFonts w:asciiTheme="minorHAnsi" w:hAnsiTheme="minorHAnsi" w:cstheme="minorHAnsi"/>
        </w:rPr>
        <w:t>services communautaires et sociaux</w:t>
      </w:r>
      <w:r w:rsidR="00E02D4F" w:rsidRPr="00883E0C">
        <w:rPr>
          <w:rFonts w:asciiTheme="minorHAnsi" w:hAnsiTheme="minorHAnsi" w:cstheme="minorHAnsi"/>
        </w:rPr>
        <w:t xml:space="preserve">, des </w:t>
      </w:r>
      <w:r w:rsidR="00245FFC" w:rsidRPr="00883E0C">
        <w:rPr>
          <w:rFonts w:asciiTheme="minorHAnsi" w:hAnsiTheme="minorHAnsi" w:cstheme="minorHAnsi"/>
        </w:rPr>
        <w:t xml:space="preserve">professionnels du </w:t>
      </w:r>
      <w:r w:rsidR="00E02D4F" w:rsidRPr="00883E0C">
        <w:rPr>
          <w:rFonts w:asciiTheme="minorHAnsi" w:hAnsiTheme="minorHAnsi" w:cstheme="minorHAnsi"/>
        </w:rPr>
        <w:t xml:space="preserve">droit et de la santé </w:t>
      </w:r>
      <w:r w:rsidR="00245FFC" w:rsidRPr="00883E0C">
        <w:rPr>
          <w:rFonts w:asciiTheme="minorHAnsi" w:hAnsiTheme="minorHAnsi" w:cstheme="minorHAnsi"/>
        </w:rPr>
        <w:t xml:space="preserve">et des membres de la famille des </w:t>
      </w:r>
      <w:r w:rsidR="00DA229E" w:rsidRPr="00883E0C">
        <w:rPr>
          <w:rFonts w:asciiTheme="minorHAnsi" w:hAnsiTheme="minorHAnsi" w:cstheme="minorHAnsi"/>
        </w:rPr>
        <w:t xml:space="preserve">femmes et des </w:t>
      </w:r>
      <w:r w:rsidR="00245FFC" w:rsidRPr="00883E0C">
        <w:rPr>
          <w:rFonts w:asciiTheme="minorHAnsi" w:hAnsiTheme="minorHAnsi" w:cstheme="minorHAnsi"/>
        </w:rPr>
        <w:t xml:space="preserve">filles handicapées, pour créer un environnement favorable et pour promouvoir l'ouverture et la connaissance dans le domaine des </w:t>
      </w:r>
      <w:r w:rsidR="00DA229E" w:rsidRPr="00883E0C">
        <w:rPr>
          <w:rFonts w:asciiTheme="minorHAnsi" w:hAnsiTheme="minorHAnsi" w:cstheme="minorHAnsi"/>
        </w:rPr>
        <w:t xml:space="preserve">droits sexuels et génésiques, en veillant à ce que les services de conseil, l'éducation et l'information sur les droits sexuels et génésiques dans la communauté soient disponibles et accessibles aux femmes et aux filles handicapées ; </w:t>
      </w:r>
    </w:p>
    <w:p w:rsidR="00F30932" w:rsidRPr="00883E0C" w:rsidRDefault="00F30932" w:rsidP="006018FF">
      <w:pPr>
        <w:ind w:firstLine="720"/>
        <w:jc w:val="both"/>
        <w:rPr>
          <w:rFonts w:asciiTheme="minorHAnsi" w:hAnsiTheme="minorHAnsi" w:cstheme="minorHAnsi"/>
        </w:rPr>
      </w:pPr>
    </w:p>
    <w:p w:rsidR="00D766B5" w:rsidRDefault="001F6D4B">
      <w:pPr>
        <w:ind w:firstLine="720"/>
        <w:jc w:val="both"/>
        <w:rPr>
          <w:rFonts w:asciiTheme="minorHAnsi" w:hAnsiTheme="minorHAnsi" w:cstheme="minorHAnsi"/>
        </w:rPr>
      </w:pPr>
      <w:r w:rsidRPr="00883E0C">
        <w:rPr>
          <w:rFonts w:asciiTheme="minorHAnsi" w:hAnsiTheme="minorHAnsi" w:cstheme="minorHAnsi"/>
        </w:rPr>
        <w:t>(</w:t>
      </w:r>
      <w:r w:rsidR="00F30932" w:rsidRPr="00883E0C">
        <w:rPr>
          <w:rFonts w:asciiTheme="minorHAnsi" w:hAnsiTheme="minorHAnsi" w:cstheme="minorHAnsi"/>
        </w:rPr>
        <w:t>f</w:t>
      </w:r>
      <w:r w:rsidR="006018FF" w:rsidRPr="00883E0C">
        <w:rPr>
          <w:rFonts w:asciiTheme="minorHAnsi" w:hAnsiTheme="minorHAnsi" w:cstheme="minorHAnsi"/>
        </w:rPr>
        <w:t xml:space="preserve">) </w:t>
      </w:r>
      <w:r w:rsidR="006018FF" w:rsidRPr="00883E0C">
        <w:rPr>
          <w:rFonts w:asciiTheme="minorHAnsi" w:hAnsiTheme="minorHAnsi" w:cstheme="minorHAnsi"/>
        </w:rPr>
        <w:tab/>
      </w:r>
      <w:r w:rsidR="00DA229E" w:rsidRPr="00883E0C">
        <w:rPr>
          <w:rFonts w:asciiTheme="minorHAnsi" w:hAnsiTheme="minorHAnsi" w:cstheme="minorHAnsi"/>
        </w:rPr>
        <w:t>Éliminer les stigmates et les stéréotypes liés au sexe</w:t>
      </w:r>
      <w:r w:rsidR="00E02D4F" w:rsidRPr="00883E0C">
        <w:rPr>
          <w:rFonts w:asciiTheme="minorHAnsi" w:hAnsiTheme="minorHAnsi" w:cstheme="minorHAnsi"/>
        </w:rPr>
        <w:t xml:space="preserve">, à l'âge </w:t>
      </w:r>
      <w:r w:rsidR="00DA229E" w:rsidRPr="00883E0C">
        <w:rPr>
          <w:rFonts w:asciiTheme="minorHAnsi" w:hAnsiTheme="minorHAnsi" w:cstheme="minorHAnsi"/>
        </w:rPr>
        <w:t xml:space="preserve">et au handicap, les </w:t>
      </w:r>
      <w:r w:rsidR="00E02D4F" w:rsidRPr="00883E0C">
        <w:rPr>
          <w:rFonts w:asciiTheme="minorHAnsi" w:hAnsiTheme="minorHAnsi" w:cstheme="minorHAnsi"/>
        </w:rPr>
        <w:t xml:space="preserve">préjugés et les pratiques néfastes dans la société, </w:t>
      </w:r>
      <w:r w:rsidR="00DA229E" w:rsidRPr="00883E0C">
        <w:rPr>
          <w:rFonts w:asciiTheme="minorHAnsi" w:hAnsiTheme="minorHAnsi" w:cstheme="minorHAnsi"/>
        </w:rPr>
        <w:t xml:space="preserve">qui conduisent à la violence à l'égard des femmes, en veillant à ce que les femmes et les filles handicapées et les organisations qui les </w:t>
      </w:r>
      <w:r w:rsidR="00E02D4F" w:rsidRPr="00883E0C">
        <w:rPr>
          <w:rFonts w:asciiTheme="minorHAnsi" w:hAnsiTheme="minorHAnsi" w:cstheme="minorHAnsi"/>
        </w:rPr>
        <w:t xml:space="preserve">représentent </w:t>
      </w:r>
      <w:r w:rsidR="00DA229E" w:rsidRPr="00883E0C">
        <w:rPr>
          <w:rFonts w:asciiTheme="minorHAnsi" w:hAnsiTheme="minorHAnsi" w:cstheme="minorHAnsi"/>
        </w:rPr>
        <w:t xml:space="preserve">participent à toutes les initiatives </w:t>
      </w:r>
      <w:r w:rsidR="00E02D4F" w:rsidRPr="00883E0C">
        <w:rPr>
          <w:rFonts w:asciiTheme="minorHAnsi" w:hAnsiTheme="minorHAnsi" w:cstheme="minorHAnsi"/>
        </w:rPr>
        <w:t xml:space="preserve">et en s'adressant au grand public ; </w:t>
      </w:r>
    </w:p>
    <w:p w:rsidR="00270249" w:rsidRPr="00883E0C" w:rsidRDefault="00270249" w:rsidP="00F434EA">
      <w:pPr>
        <w:ind w:firstLine="720"/>
        <w:jc w:val="both"/>
        <w:rPr>
          <w:rFonts w:asciiTheme="minorHAnsi" w:hAnsiTheme="minorHAnsi" w:cstheme="minorHAnsi"/>
        </w:rPr>
      </w:pPr>
    </w:p>
    <w:p w:rsidR="00D766B5" w:rsidRDefault="001F6D4B">
      <w:pPr>
        <w:ind w:firstLine="720"/>
        <w:jc w:val="both"/>
        <w:rPr>
          <w:rFonts w:asciiTheme="minorHAnsi" w:hAnsiTheme="minorHAnsi" w:cstheme="minorHAnsi"/>
        </w:rPr>
      </w:pPr>
      <w:r w:rsidRPr="00883E0C">
        <w:rPr>
          <w:rFonts w:asciiTheme="minorHAnsi" w:hAnsiTheme="minorHAnsi" w:cstheme="minorHAnsi"/>
        </w:rPr>
        <w:t>(</w:t>
      </w:r>
      <w:r w:rsidR="00F30932" w:rsidRPr="00883E0C">
        <w:rPr>
          <w:rFonts w:asciiTheme="minorHAnsi" w:hAnsiTheme="minorHAnsi" w:cstheme="minorHAnsi"/>
        </w:rPr>
        <w:t>g</w:t>
      </w:r>
      <w:r w:rsidRPr="00883E0C">
        <w:rPr>
          <w:rFonts w:asciiTheme="minorHAnsi" w:hAnsiTheme="minorHAnsi" w:cstheme="minorHAnsi"/>
        </w:rPr>
        <w:t xml:space="preserve">) </w:t>
      </w:r>
      <w:r w:rsidRPr="00883E0C">
        <w:rPr>
          <w:rFonts w:asciiTheme="minorHAnsi" w:hAnsiTheme="minorHAnsi" w:cstheme="minorHAnsi"/>
        </w:rPr>
        <w:tab/>
        <w:t>Adopter des mesures pour garanti</w:t>
      </w:r>
      <w:r w:rsidRPr="00883E0C">
        <w:rPr>
          <w:rFonts w:asciiTheme="minorHAnsi" w:hAnsiTheme="minorHAnsi" w:cstheme="minorHAnsi"/>
        </w:rPr>
        <w:t>r l'accès effectif à la justice des femmes et des filles handicapées</w:t>
      </w:r>
      <w:r w:rsidR="00097182" w:rsidRPr="00883E0C">
        <w:rPr>
          <w:rFonts w:asciiTheme="minorHAnsi" w:hAnsiTheme="minorHAnsi" w:cstheme="minorHAnsi"/>
        </w:rPr>
        <w:t xml:space="preserve">, y compris celles dont la capacité juridique a été retirée ou limitée, </w:t>
      </w:r>
      <w:r w:rsidRPr="00883E0C">
        <w:rPr>
          <w:rFonts w:asciiTheme="minorHAnsi" w:hAnsiTheme="minorHAnsi" w:cstheme="minorHAnsi"/>
        </w:rPr>
        <w:t xml:space="preserve">sans discrimination, et la </w:t>
      </w:r>
      <w:r w:rsidR="00E02D4F" w:rsidRPr="00883E0C">
        <w:rPr>
          <w:rFonts w:asciiTheme="minorHAnsi" w:hAnsiTheme="minorHAnsi" w:cstheme="minorHAnsi"/>
        </w:rPr>
        <w:t>mise en place d'</w:t>
      </w:r>
      <w:r w:rsidRPr="00883E0C">
        <w:rPr>
          <w:rFonts w:asciiTheme="minorHAnsi" w:hAnsiTheme="minorHAnsi" w:cstheme="minorHAnsi"/>
        </w:rPr>
        <w:t>aménagements procéduraux, adaptés à l'âge et au genre, dans les mécanisme</w:t>
      </w:r>
      <w:r w:rsidRPr="00883E0C">
        <w:rPr>
          <w:rFonts w:asciiTheme="minorHAnsi" w:hAnsiTheme="minorHAnsi" w:cstheme="minorHAnsi"/>
        </w:rPr>
        <w:t>s de plainte et le système judiciaire, dans tous les domaines du droit</w:t>
      </w:r>
      <w:r w:rsidR="00F434EA" w:rsidRPr="00883E0C">
        <w:rPr>
          <w:rFonts w:asciiTheme="minorHAnsi" w:hAnsiTheme="minorHAnsi" w:cstheme="minorHAnsi"/>
        </w:rPr>
        <w:t xml:space="preserve">, et fournir des programmes systématiques de formation et de renforcement des capacités ciblant les juges, les procureurs et les forces de l'ordre sur la violence sexiste à l'égard des femmes </w:t>
      </w:r>
      <w:r w:rsidR="00E02D4F" w:rsidRPr="00883E0C">
        <w:rPr>
          <w:rFonts w:asciiTheme="minorHAnsi" w:hAnsiTheme="minorHAnsi" w:cstheme="minorHAnsi"/>
        </w:rPr>
        <w:t xml:space="preserve">et des filles </w:t>
      </w:r>
      <w:r w:rsidR="00F434EA" w:rsidRPr="00883E0C">
        <w:rPr>
          <w:rFonts w:asciiTheme="minorHAnsi" w:hAnsiTheme="minorHAnsi" w:cstheme="minorHAnsi"/>
        </w:rPr>
        <w:t xml:space="preserve">handicapées </w:t>
      </w:r>
      <w:r w:rsidRPr="00883E0C">
        <w:rPr>
          <w:rFonts w:asciiTheme="minorHAnsi" w:hAnsiTheme="minorHAnsi" w:cstheme="minorHAnsi"/>
        </w:rPr>
        <w:t>;</w:t>
      </w:r>
    </w:p>
    <w:p w:rsidR="00DA229E" w:rsidRPr="00883E0C" w:rsidRDefault="00DA229E" w:rsidP="00F434EA">
      <w:pPr>
        <w:ind w:firstLine="720"/>
        <w:jc w:val="both"/>
        <w:rPr>
          <w:rFonts w:asciiTheme="minorHAnsi" w:hAnsiTheme="minorHAnsi" w:cstheme="minorHAnsi"/>
        </w:rPr>
      </w:pPr>
    </w:p>
    <w:p w:rsidR="00D766B5" w:rsidRDefault="001F6D4B">
      <w:pPr>
        <w:ind w:firstLine="720"/>
        <w:jc w:val="both"/>
        <w:rPr>
          <w:rFonts w:asciiTheme="minorHAnsi" w:hAnsiTheme="minorHAnsi" w:cstheme="minorHAnsi"/>
        </w:rPr>
      </w:pPr>
      <w:r w:rsidRPr="00883E0C">
        <w:rPr>
          <w:rFonts w:asciiTheme="minorHAnsi" w:hAnsiTheme="minorHAnsi" w:cstheme="minorHAnsi"/>
        </w:rPr>
        <w:t xml:space="preserve">(h)Faire en </w:t>
      </w:r>
      <w:r w:rsidRPr="00883E0C">
        <w:rPr>
          <w:rFonts w:asciiTheme="minorHAnsi" w:hAnsiTheme="minorHAnsi" w:cstheme="minorHAnsi"/>
        </w:rPr>
        <w:tab/>
        <w:t xml:space="preserve">sorte que les auteurs de violences sexistes à l'encontre des femmes </w:t>
      </w:r>
      <w:r w:rsidR="00097182" w:rsidRPr="00883E0C">
        <w:rPr>
          <w:rFonts w:asciiTheme="minorHAnsi" w:hAnsiTheme="minorHAnsi" w:cstheme="minorHAnsi"/>
        </w:rPr>
        <w:t xml:space="preserve">et des filles handicapées </w:t>
      </w:r>
      <w:r w:rsidRPr="00883E0C">
        <w:rPr>
          <w:rFonts w:asciiTheme="minorHAnsi" w:hAnsiTheme="minorHAnsi" w:cstheme="minorHAnsi"/>
        </w:rPr>
        <w:t xml:space="preserve">soient traduits en justice, et prendre des mesures pour éviter la répétition de ces actes ; </w:t>
      </w:r>
    </w:p>
    <w:p w:rsidR="007E53AF" w:rsidRPr="00883E0C" w:rsidRDefault="007E53AF" w:rsidP="00DA229E">
      <w:pPr>
        <w:jc w:val="both"/>
        <w:rPr>
          <w:rFonts w:asciiTheme="minorHAnsi" w:hAnsiTheme="minorHAnsi" w:cstheme="minorHAnsi"/>
        </w:rPr>
      </w:pPr>
    </w:p>
    <w:p w:rsidR="00D766B5" w:rsidRDefault="001F6D4B">
      <w:pPr>
        <w:ind w:firstLine="720"/>
        <w:jc w:val="both"/>
        <w:rPr>
          <w:rFonts w:asciiTheme="minorHAnsi" w:hAnsiTheme="minorHAnsi" w:cstheme="minorHAnsi"/>
        </w:rPr>
      </w:pPr>
      <w:r w:rsidRPr="00883E0C">
        <w:rPr>
          <w:rFonts w:asciiTheme="minorHAnsi" w:hAnsiTheme="minorHAnsi" w:cstheme="minorHAnsi"/>
        </w:rPr>
        <w:t>(</w:t>
      </w:r>
      <w:r w:rsidR="006F75C3" w:rsidRPr="00883E0C">
        <w:rPr>
          <w:rFonts w:asciiTheme="minorHAnsi" w:hAnsiTheme="minorHAnsi" w:cstheme="minorHAnsi"/>
        </w:rPr>
        <w:t>j</w:t>
      </w:r>
      <w:r w:rsidRPr="00883E0C">
        <w:rPr>
          <w:rFonts w:asciiTheme="minorHAnsi" w:hAnsiTheme="minorHAnsi" w:cstheme="minorHAnsi"/>
        </w:rPr>
        <w:t xml:space="preserve">) </w:t>
      </w:r>
      <w:r w:rsidRPr="00883E0C">
        <w:rPr>
          <w:rFonts w:asciiTheme="minorHAnsi" w:hAnsiTheme="minorHAnsi" w:cstheme="minorHAnsi"/>
        </w:rPr>
        <w:tab/>
      </w:r>
      <w:r w:rsidRPr="00883E0C">
        <w:rPr>
          <w:rFonts w:asciiTheme="minorHAnsi" w:hAnsiTheme="minorHAnsi" w:cstheme="minorHAnsi"/>
        </w:rPr>
        <w:t>Recueillir des données systématiquement ventilées sur la violence à l'égard des femmes et des filles handicapées afin de recenser tous les cas de violence sexiste à l'égard des femmes et des filles handicapées, dans les sphères privée et publique</w:t>
      </w:r>
      <w:r w:rsidR="009C1AB1" w:rsidRPr="00883E0C">
        <w:rPr>
          <w:rFonts w:asciiTheme="minorHAnsi" w:hAnsiTheme="minorHAnsi" w:cstheme="minorHAnsi"/>
        </w:rPr>
        <w:t>.</w:t>
      </w:r>
    </w:p>
    <w:p w:rsidR="00270249" w:rsidRPr="00883E0C" w:rsidRDefault="00270249" w:rsidP="009C1AB1">
      <w:pPr>
        <w:ind w:firstLine="720"/>
        <w:jc w:val="both"/>
        <w:rPr>
          <w:rFonts w:asciiTheme="minorHAnsi" w:hAnsiTheme="minorHAnsi" w:cstheme="minorHAnsi"/>
        </w:rPr>
      </w:pPr>
    </w:p>
    <w:p w:rsidR="00D766B5" w:rsidRDefault="001F6D4B">
      <w:pPr>
        <w:jc w:val="center"/>
        <w:rPr>
          <w:rFonts w:asciiTheme="minorHAnsi" w:hAnsiTheme="minorHAnsi" w:cstheme="minorHAnsi"/>
        </w:rPr>
      </w:pPr>
      <w:r w:rsidRPr="00883E0C">
        <w:rPr>
          <w:rFonts w:asciiTheme="minorHAnsi" w:hAnsiTheme="minorHAnsi" w:cstheme="minorHAnsi"/>
        </w:rPr>
        <w:t>_______</w:t>
      </w:r>
      <w:r w:rsidRPr="00883E0C">
        <w:rPr>
          <w:rFonts w:asciiTheme="minorHAnsi" w:hAnsiTheme="minorHAnsi" w:cstheme="minorHAnsi"/>
        </w:rPr>
        <w:t>______</w:t>
      </w:r>
    </w:p>
    <w:sectPr w:rsidR="00D766B5" w:rsidSect="00D766B5">
      <w:footerReference w:type="default" r:id="rId3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77742" w16cex:dateUtc="2021-11-23T03:20:00Z"/>
  <w16cex:commentExtensible w16cex:durableId="254777C3" w16cex:dateUtc="2021-11-23T03:22:00Z"/>
  <w16cex:commentExtensible w16cex:durableId="2547788B" w16cex:dateUtc="2021-11-23T03:26:00Z"/>
  <w16cex:commentExtensible w16cex:durableId="25477981" w16cex:dateUtc="2021-11-23T03:30:00Z"/>
  <w16cex:commentExtensible w16cex:durableId="25477C82" w16cex:dateUtc="2021-11-23T03:43:00Z"/>
  <w16cex:commentExtensible w16cex:durableId="254779A6" w16cex:dateUtc="2021-11-23T03:31:00Z"/>
  <w16cex:commentExtensible w16cex:durableId="25477A2E" w16cex:dateUtc="2021-11-23T03:33:00Z"/>
  <w16cex:commentExtensible w16cex:durableId="25477BC9" w16cex:dateUtc="2021-11-23T03:31:00Z"/>
  <w16cex:commentExtensible w16cex:durableId="25477D56" w16cex:dateUtc="2021-11-23T03:46:00Z"/>
  <w16cex:commentExtensible w16cex:durableId="25477FF5" w16cex:dateUtc="2021-11-23T03: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379235" w16cid:durableId="25477742"/>
  <w16cid:commentId w16cid:paraId="447225CF" w16cid:durableId="254777C3"/>
  <w16cid:commentId w16cid:paraId="29553676" w16cid:durableId="2547788B"/>
  <w16cid:commentId w16cid:paraId="07CCDD64" w16cid:durableId="25477981"/>
  <w16cid:commentId w16cid:paraId="70038753" w16cid:durableId="25477C82"/>
  <w16cid:commentId w16cid:paraId="6DD24102" w16cid:durableId="254779A6"/>
  <w16cid:commentId w16cid:paraId="6BC161DF" w16cid:durableId="25477A2E"/>
  <w16cid:commentId w16cid:paraId="0E2AF7DD" w16cid:durableId="25477BC9"/>
  <w16cid:commentId w16cid:paraId="15E451B1" w16cid:durableId="25477D56"/>
  <w16cid:commentId w16cid:paraId="6F393CCE" w16cid:durableId="25477FF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D4B" w:rsidRDefault="001F6D4B" w:rsidP="008000FB">
      <w:r>
        <w:separator/>
      </w:r>
    </w:p>
  </w:endnote>
  <w:endnote w:type="continuationSeparator" w:id="1">
    <w:p w:rsidR="001F6D4B" w:rsidRDefault="001F6D4B" w:rsidP="008000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Cuerpo en alfa">
    <w:altName w:val="Times New Roman"/>
    <w:charset w:val="00"/>
    <w:family w:val="roman"/>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6B5" w:rsidRDefault="001F6D4B">
    <w:pPr>
      <w:pStyle w:val="Pieddepage"/>
    </w:pPr>
    <w:r>
      <w:rPr>
        <w:noProof/>
        <w:lang w:val="fr-FR" w:eastAsia="fr-FR"/>
      </w:rPr>
      <w:drawing>
        <wp:anchor distT="0" distB="0" distL="114300" distR="114300" simplePos="0" relativeHeight="251658240" behindDoc="1" locked="0" layoutInCell="1" allowOverlap="1">
          <wp:simplePos x="0" y="0"/>
          <wp:positionH relativeFrom="column">
            <wp:posOffset>5168096</wp:posOffset>
          </wp:positionH>
          <wp:positionV relativeFrom="paragraph">
            <wp:posOffset>-807318</wp:posOffset>
          </wp:positionV>
          <wp:extent cx="1408430" cy="1371600"/>
          <wp:effectExtent l="0" t="0" r="1270" b="0"/>
          <wp:wrapTight wrapText="bothSides">
            <wp:wrapPolygon edited="0">
              <wp:start x="0" y="0"/>
              <wp:lineTo x="0" y="21300"/>
              <wp:lineTo x="21327" y="21300"/>
              <wp:lineTo x="213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a14="http://schemas.microsoft.com/office/drawing/2010/main" xmlns="" val="0"/>
                      </a:ext>
                    </a:extLst>
                  </a:blip>
                  <a:srcRect/>
                  <a:stretch>
                    <a:fillRect/>
                  </a:stretch>
                </pic:blipFill>
                <pic:spPr bwMode="auto">
                  <a:xfrm>
                    <a:off x="0" y="0"/>
                    <a:ext cx="1408430" cy="137160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D4B" w:rsidRDefault="001F6D4B" w:rsidP="008000FB">
      <w:r>
        <w:separator/>
      </w:r>
    </w:p>
  </w:footnote>
  <w:footnote w:type="continuationSeparator" w:id="1">
    <w:p w:rsidR="001F6D4B" w:rsidRDefault="001F6D4B" w:rsidP="008000FB">
      <w:r>
        <w:continuationSeparator/>
      </w:r>
    </w:p>
  </w:footnote>
  <w:footnote w:id="2">
    <w:p w:rsidR="00D766B5" w:rsidRDefault="001F6D4B">
      <w:pPr>
        <w:pStyle w:val="Notedebasdepage"/>
        <w:rPr>
          <w:sz w:val="18"/>
          <w:szCs w:val="18"/>
        </w:rPr>
      </w:pPr>
      <w:r w:rsidRPr="00062AE9">
        <w:rPr>
          <w:rStyle w:val="Appelnotedebasdep"/>
          <w:sz w:val="18"/>
          <w:szCs w:val="18"/>
        </w:rPr>
        <w:footnoteRef/>
      </w:r>
      <w:r w:rsidRPr="00062AE9">
        <w:rPr>
          <w:sz w:val="18"/>
          <w:szCs w:val="18"/>
        </w:rPr>
        <w:t xml:space="preserve"> Cette déclaration est </w:t>
      </w:r>
      <w:r w:rsidR="00A82B8B" w:rsidRPr="00062AE9">
        <w:rPr>
          <w:sz w:val="18"/>
          <w:szCs w:val="18"/>
        </w:rPr>
        <w:t xml:space="preserve">rejointe et/ou </w:t>
      </w:r>
      <w:r w:rsidRPr="00062AE9">
        <w:rPr>
          <w:sz w:val="18"/>
          <w:szCs w:val="18"/>
        </w:rPr>
        <w:t xml:space="preserve">approuvée par </w:t>
      </w:r>
      <w:r w:rsidR="00FF6104" w:rsidRPr="00062AE9">
        <w:rPr>
          <w:sz w:val="18"/>
          <w:szCs w:val="18"/>
        </w:rPr>
        <w:t xml:space="preserve">le </w:t>
      </w:r>
      <w:r w:rsidR="00843046" w:rsidRPr="00062AE9">
        <w:rPr>
          <w:b/>
          <w:bCs/>
          <w:sz w:val="18"/>
          <w:szCs w:val="18"/>
        </w:rPr>
        <w:t>Comité pour l'élimination de la discrimination à l'égard des femmes (CEDAW)</w:t>
      </w:r>
      <w:r w:rsidR="00843046" w:rsidRPr="00062AE9">
        <w:rPr>
          <w:sz w:val="18"/>
          <w:szCs w:val="18"/>
        </w:rPr>
        <w:t xml:space="preserve">, </w:t>
      </w:r>
      <w:r w:rsidR="00FF6104" w:rsidRPr="00062AE9">
        <w:rPr>
          <w:sz w:val="18"/>
          <w:szCs w:val="18"/>
        </w:rPr>
        <w:t xml:space="preserve">le </w:t>
      </w:r>
      <w:r w:rsidR="00FF6104" w:rsidRPr="00062AE9">
        <w:rPr>
          <w:b/>
          <w:sz w:val="18"/>
          <w:szCs w:val="18"/>
        </w:rPr>
        <w:t xml:space="preserve">Comité des droits de l'enfant (CRC) </w:t>
      </w:r>
      <w:r w:rsidR="00FF6104" w:rsidRPr="00062AE9">
        <w:rPr>
          <w:sz w:val="18"/>
          <w:szCs w:val="18"/>
        </w:rPr>
        <w:t xml:space="preserve">et </w:t>
      </w:r>
      <w:r w:rsidR="00936D9E" w:rsidRPr="00062AE9">
        <w:rPr>
          <w:sz w:val="18"/>
          <w:szCs w:val="18"/>
        </w:rPr>
        <w:t xml:space="preserve">le </w:t>
      </w:r>
      <w:bookmarkStart w:id="0" w:name="_GoBack"/>
      <w:bookmarkEnd w:id="0"/>
      <w:r w:rsidRPr="00BC0EE9">
        <w:rPr>
          <w:b/>
          <w:bCs/>
          <w:sz w:val="18"/>
          <w:szCs w:val="18"/>
        </w:rPr>
        <w:t>Rapporteur spécial sur les droits des personnes handicapées</w:t>
      </w:r>
      <w:r w:rsidR="00843046" w:rsidRPr="00062AE9">
        <w:rPr>
          <w:sz w:val="18"/>
          <w:szCs w:val="18"/>
        </w:rPr>
        <w:t xml:space="preserve">, </w:t>
      </w:r>
      <w:r w:rsidR="00843046" w:rsidRPr="00062AE9">
        <w:rPr>
          <w:b/>
          <w:bCs/>
          <w:sz w:val="18"/>
          <w:szCs w:val="18"/>
        </w:rPr>
        <w:t>Gerard Quinn</w:t>
      </w:r>
      <w:r w:rsidR="00FF6104" w:rsidRPr="00062AE9">
        <w:rPr>
          <w:sz w:val="18"/>
          <w:szCs w:val="18"/>
        </w:rPr>
        <w:t xml:space="preserve">. </w:t>
      </w:r>
    </w:p>
  </w:footnote>
  <w:footnote w:id="3">
    <w:p w:rsidR="00D766B5" w:rsidRDefault="001F6D4B">
      <w:pPr>
        <w:pStyle w:val="Notedebasdepage"/>
        <w:rPr>
          <w:sz w:val="18"/>
          <w:szCs w:val="18"/>
        </w:rPr>
      </w:pPr>
      <w:r w:rsidRPr="000A7166">
        <w:rPr>
          <w:rStyle w:val="Appelnotedebasdep"/>
          <w:sz w:val="18"/>
          <w:szCs w:val="18"/>
        </w:rPr>
        <w:footnoteRef/>
      </w:r>
      <w:r w:rsidRPr="000A7166">
        <w:rPr>
          <w:sz w:val="18"/>
          <w:szCs w:val="18"/>
        </w:rPr>
        <w:t xml:space="preserve"> Déclaration sur l'élimination de la violence à l'égard des femmes, https://www.ohchr.org/en/professionalinterest/pages/violenceagainstwomen.aspx </w:t>
      </w:r>
    </w:p>
  </w:footnote>
  <w:footnote w:id="4">
    <w:p w:rsidR="00D766B5" w:rsidRDefault="001F6D4B">
      <w:pPr>
        <w:pStyle w:val="Notedebasdepage"/>
        <w:rPr>
          <w:sz w:val="18"/>
          <w:szCs w:val="18"/>
          <w:lang w:val="en-US"/>
        </w:rPr>
      </w:pPr>
      <w:r w:rsidRPr="000A7166">
        <w:rPr>
          <w:rStyle w:val="Appelnotedebasdep"/>
          <w:sz w:val="18"/>
          <w:szCs w:val="18"/>
        </w:rPr>
        <w:footnoteRef/>
      </w:r>
      <w:r w:rsidR="00843046" w:rsidRPr="000A7166">
        <w:rPr>
          <w:sz w:val="18"/>
          <w:szCs w:val="18"/>
        </w:rPr>
        <w:t>CEDAW</w:t>
      </w:r>
      <w:r w:rsidR="00BD4D8D" w:rsidRPr="000A7166">
        <w:rPr>
          <w:sz w:val="18"/>
          <w:szCs w:val="18"/>
        </w:rPr>
        <w:t>, Recommandation générale n° 35 sur la violence sexiste à l'égard des femmes, mettant à jour la recommandation générale n° 19, 26 juillet 2017, UN Doc. CEDAW/C/GC/35</w:t>
      </w:r>
      <w:r w:rsidR="0060453E" w:rsidRPr="000A7166">
        <w:rPr>
          <w:sz w:val="18"/>
          <w:szCs w:val="18"/>
        </w:rPr>
        <w:t xml:space="preserve">, </w:t>
      </w:r>
      <w:r w:rsidR="00BD4D8D" w:rsidRPr="000A7166">
        <w:rPr>
          <w:sz w:val="18"/>
          <w:szCs w:val="18"/>
        </w:rPr>
        <w:t>paras</w:t>
      </w:r>
      <w:r w:rsidR="0060453E" w:rsidRPr="000A7166">
        <w:rPr>
          <w:sz w:val="18"/>
          <w:szCs w:val="18"/>
        </w:rPr>
        <w:t xml:space="preserve">. </w:t>
      </w:r>
      <w:r w:rsidR="00BD4D8D" w:rsidRPr="000A7166">
        <w:rPr>
          <w:sz w:val="18"/>
          <w:szCs w:val="18"/>
        </w:rPr>
        <w:t>10 - 20</w:t>
      </w:r>
      <w:r w:rsidRPr="000A7166">
        <w:rPr>
          <w:sz w:val="18"/>
          <w:szCs w:val="18"/>
        </w:rPr>
        <w:t xml:space="preserve">. </w:t>
      </w:r>
    </w:p>
  </w:footnote>
  <w:footnote w:id="5">
    <w:p w:rsidR="00D766B5" w:rsidRDefault="001F6D4B">
      <w:pPr>
        <w:pStyle w:val="Notedebasdepage"/>
      </w:pPr>
      <w:r>
        <w:rPr>
          <w:rStyle w:val="Appelnotedebasdep"/>
        </w:rPr>
        <w:footnoteRef/>
      </w:r>
      <w:r w:rsidRPr="00072BAA">
        <w:rPr>
          <w:sz w:val="18"/>
          <w:szCs w:val="18"/>
        </w:rPr>
        <w:t xml:space="preserve"> Ibid, paragraphe 1. 1</w:t>
      </w:r>
    </w:p>
  </w:footnote>
  <w:footnote w:id="6">
    <w:p w:rsidR="00D766B5" w:rsidRDefault="001F6D4B">
      <w:pPr>
        <w:pStyle w:val="Notedebasdepage"/>
        <w:rPr>
          <w:sz w:val="18"/>
          <w:szCs w:val="18"/>
        </w:rPr>
      </w:pPr>
      <w:r w:rsidRPr="000A7166">
        <w:rPr>
          <w:rStyle w:val="Appelnotedebasdep"/>
          <w:sz w:val="18"/>
          <w:szCs w:val="18"/>
        </w:rPr>
        <w:footnoteRef/>
      </w:r>
      <w:r w:rsidR="00764485" w:rsidRPr="000A7166">
        <w:rPr>
          <w:sz w:val="18"/>
          <w:szCs w:val="18"/>
        </w:rPr>
        <w:t>CDAW</w:t>
      </w:r>
      <w:r w:rsidR="003963F9">
        <w:rPr>
          <w:sz w:val="18"/>
          <w:szCs w:val="18"/>
        </w:rPr>
        <w:t xml:space="preserve">, </w:t>
      </w:r>
      <w:r w:rsidR="00764485" w:rsidRPr="000A7166">
        <w:rPr>
          <w:sz w:val="18"/>
          <w:szCs w:val="18"/>
        </w:rPr>
        <w:t>Recommandation</w:t>
      </w:r>
      <w:r w:rsidR="003963F9">
        <w:rPr>
          <w:sz w:val="18"/>
          <w:szCs w:val="18"/>
        </w:rPr>
        <w:t xml:space="preserve"> générale </w:t>
      </w:r>
      <w:r w:rsidRPr="000A7166">
        <w:rPr>
          <w:sz w:val="18"/>
          <w:szCs w:val="18"/>
        </w:rPr>
        <w:t xml:space="preserve">n° </w:t>
      </w:r>
      <w:r w:rsidR="00764485" w:rsidRPr="000A7166">
        <w:rPr>
          <w:sz w:val="18"/>
          <w:szCs w:val="18"/>
        </w:rPr>
        <w:t xml:space="preserve">18 (1991) sur les femmes handicapées. </w:t>
      </w:r>
    </w:p>
  </w:footnote>
  <w:footnote w:id="7">
    <w:p w:rsidR="00D766B5" w:rsidRDefault="001F6D4B">
      <w:pPr>
        <w:pStyle w:val="Notedebasdepage"/>
      </w:pPr>
      <w:r>
        <w:rPr>
          <w:rStyle w:val="Appelnotedebasdep"/>
        </w:rPr>
        <w:footnoteRef/>
      </w:r>
      <w:r w:rsidRPr="00094816">
        <w:rPr>
          <w:sz w:val="18"/>
          <w:szCs w:val="18"/>
        </w:rPr>
        <w:t xml:space="preserve">CRC, Observation générale n° 13 (2011) </w:t>
      </w:r>
      <w:r>
        <w:rPr>
          <w:bCs/>
          <w:iCs/>
          <w:sz w:val="18"/>
          <w:szCs w:val="18"/>
        </w:rPr>
        <w:t xml:space="preserve">sur le </w:t>
      </w:r>
      <w:r w:rsidRPr="00094816">
        <w:rPr>
          <w:bCs/>
          <w:iCs/>
          <w:sz w:val="18"/>
          <w:szCs w:val="18"/>
        </w:rPr>
        <w:t>droit de l'enfant à ne pas subir de violence sous toutes ses formes.</w:t>
      </w:r>
    </w:p>
  </w:footnote>
  <w:footnote w:id="8">
    <w:p w:rsidR="00D766B5" w:rsidRDefault="001F6D4B">
      <w:pPr>
        <w:pStyle w:val="Notedebasdepage"/>
        <w:rPr>
          <w:sz w:val="18"/>
          <w:szCs w:val="18"/>
        </w:rPr>
      </w:pPr>
      <w:r w:rsidRPr="000A7166">
        <w:rPr>
          <w:rStyle w:val="Appelnotedebasdep"/>
          <w:sz w:val="18"/>
          <w:szCs w:val="18"/>
        </w:rPr>
        <w:footnoteRef/>
      </w:r>
      <w:r w:rsidR="003963F9">
        <w:rPr>
          <w:sz w:val="18"/>
          <w:szCs w:val="18"/>
        </w:rPr>
        <w:t xml:space="preserve">CEDAW, </w:t>
      </w:r>
      <w:r w:rsidRPr="000A7166">
        <w:rPr>
          <w:sz w:val="18"/>
          <w:szCs w:val="18"/>
        </w:rPr>
        <w:t>Recommandation</w:t>
      </w:r>
      <w:r w:rsidR="000A7166" w:rsidRPr="000A7166">
        <w:rPr>
          <w:sz w:val="18"/>
          <w:szCs w:val="18"/>
        </w:rPr>
        <w:t xml:space="preserve"> générale </w:t>
      </w:r>
      <w:r w:rsidRPr="000A7166">
        <w:rPr>
          <w:sz w:val="18"/>
          <w:szCs w:val="18"/>
        </w:rPr>
        <w:t xml:space="preserve">n° 24 </w:t>
      </w:r>
      <w:r w:rsidR="00764485" w:rsidRPr="000A7166">
        <w:rPr>
          <w:sz w:val="18"/>
          <w:szCs w:val="18"/>
        </w:rPr>
        <w:t xml:space="preserve">(1999) article 12 femmes et santé. </w:t>
      </w:r>
    </w:p>
  </w:footnote>
  <w:footnote w:id="9">
    <w:p w:rsidR="00D766B5" w:rsidRDefault="001F6D4B">
      <w:pPr>
        <w:pStyle w:val="Notedebasdepage"/>
        <w:rPr>
          <w:sz w:val="18"/>
          <w:szCs w:val="18"/>
        </w:rPr>
      </w:pPr>
      <w:r w:rsidRPr="000A7166">
        <w:rPr>
          <w:rStyle w:val="Appelnotedebasdep"/>
          <w:sz w:val="18"/>
          <w:szCs w:val="18"/>
        </w:rPr>
        <w:footnoteRef/>
      </w:r>
      <w:r w:rsidRPr="000A7166">
        <w:rPr>
          <w:sz w:val="18"/>
          <w:szCs w:val="18"/>
        </w:rPr>
        <w:t xml:space="preserve"> Comité des droits des personnes handicapées, Observation générale n° 3 (2016), 25 novembre 2016, UN Doc. CRPD/C</w:t>
      </w:r>
      <w:r w:rsidRPr="000A7166">
        <w:rPr>
          <w:sz w:val="18"/>
          <w:szCs w:val="18"/>
        </w:rPr>
        <w:t>/GC/3, para. 16</w:t>
      </w:r>
    </w:p>
  </w:footnote>
  <w:footnote w:id="10">
    <w:p w:rsidR="00D766B5" w:rsidRDefault="001F6D4B">
      <w:pPr>
        <w:pStyle w:val="Notedebasdepage"/>
        <w:rPr>
          <w:sz w:val="18"/>
          <w:szCs w:val="18"/>
          <w:lang w:val="en-US"/>
        </w:rPr>
      </w:pPr>
      <w:r w:rsidRPr="000A7166">
        <w:rPr>
          <w:rStyle w:val="Appelnotedebasdep"/>
          <w:sz w:val="18"/>
          <w:szCs w:val="18"/>
        </w:rPr>
        <w:footnoteRef/>
      </w:r>
      <w:r w:rsidRPr="000A7166">
        <w:rPr>
          <w:sz w:val="18"/>
          <w:szCs w:val="18"/>
          <w:lang w:val="en-US"/>
        </w:rPr>
        <w:t xml:space="preserve"> Voir par exemple CEDAW, GR n° 18 (1991), GR n° 28 (2010), GR n° 33 (2015) et GR n° 35 (2017).</w:t>
      </w:r>
    </w:p>
  </w:footnote>
  <w:footnote w:id="11">
    <w:p w:rsidR="00D766B5" w:rsidRDefault="001F6D4B">
      <w:pPr>
        <w:pStyle w:val="Notedebasdepage"/>
        <w:rPr>
          <w:sz w:val="18"/>
          <w:szCs w:val="18"/>
        </w:rPr>
      </w:pPr>
      <w:r w:rsidRPr="000A7166">
        <w:rPr>
          <w:rStyle w:val="Appelnotedebasdep"/>
          <w:sz w:val="18"/>
          <w:szCs w:val="18"/>
        </w:rPr>
        <w:footnoteRef/>
      </w:r>
      <w:r w:rsidRPr="000A7166">
        <w:rPr>
          <w:sz w:val="18"/>
          <w:szCs w:val="18"/>
        </w:rPr>
        <w:t xml:space="preserve">  https://www.ohchr.org/EN/Issues/Disability/Pages/SDG-CRPD-Resource.aspx#policy</w:t>
      </w:r>
    </w:p>
  </w:footnote>
  <w:footnote w:id="12">
    <w:p w:rsidR="00D766B5" w:rsidRDefault="001F6D4B">
      <w:pPr>
        <w:pStyle w:val="Notedebasdepage"/>
        <w:rPr>
          <w:sz w:val="18"/>
          <w:szCs w:val="18"/>
        </w:rPr>
      </w:pPr>
      <w:r w:rsidRPr="000A7166">
        <w:rPr>
          <w:rStyle w:val="Appelnotedebasdep"/>
          <w:sz w:val="18"/>
          <w:szCs w:val="18"/>
        </w:rPr>
        <w:footnoteRef/>
      </w:r>
      <w:r w:rsidR="001F51DA" w:rsidRPr="000A7166">
        <w:rPr>
          <w:sz w:val="18"/>
          <w:szCs w:val="18"/>
        </w:rPr>
        <w:t xml:space="preserve"> CEDAW, Recommandation générale n° 35 sur la violence sexiste à l'égard des femmes, mettant à jour la recommandation générale n° 19, paragraphe 2</w:t>
      </w:r>
      <w:r w:rsidR="008C5620" w:rsidRPr="000A7166">
        <w:rPr>
          <w:sz w:val="18"/>
          <w:szCs w:val="18"/>
        </w:rPr>
        <w:t xml:space="preserve">). </w:t>
      </w:r>
    </w:p>
  </w:footnote>
  <w:footnote w:id="13">
    <w:p w:rsidR="00D766B5" w:rsidRDefault="001F6D4B">
      <w:pPr>
        <w:pStyle w:val="Notedebasdepage"/>
        <w:rPr>
          <w:sz w:val="18"/>
          <w:szCs w:val="18"/>
        </w:rPr>
      </w:pPr>
      <w:r w:rsidRPr="000A7166">
        <w:rPr>
          <w:rStyle w:val="Appelnotedebasdep"/>
          <w:sz w:val="18"/>
          <w:szCs w:val="18"/>
        </w:rPr>
        <w:footnoteRef/>
      </w:r>
      <w:r w:rsidR="001F51DA" w:rsidRPr="000A7166">
        <w:rPr>
          <w:sz w:val="18"/>
          <w:szCs w:val="18"/>
        </w:rPr>
        <w:t xml:space="preserve"> Comité des droits des personnes handicapées, Observation générale n° 3 (2016), paragraphes 29 à 37</w:t>
      </w:r>
      <w:r w:rsidRPr="000A7166">
        <w:rPr>
          <w:sz w:val="18"/>
          <w:szCs w:val="18"/>
        </w:rPr>
        <w:t>.</w:t>
      </w:r>
    </w:p>
  </w:footnote>
  <w:footnote w:id="14">
    <w:p w:rsidR="00D766B5" w:rsidRDefault="001F6D4B">
      <w:pPr>
        <w:pStyle w:val="Notedebasdepage"/>
      </w:pPr>
      <w:r w:rsidRPr="000A7166">
        <w:rPr>
          <w:rStyle w:val="Appelnotedebasdep"/>
          <w:sz w:val="18"/>
          <w:szCs w:val="18"/>
        </w:rPr>
        <w:footnoteRef/>
      </w:r>
      <w:r w:rsidR="000A7166" w:rsidRPr="000A7166">
        <w:rPr>
          <w:sz w:val="18"/>
          <w:szCs w:val="18"/>
        </w:rPr>
        <w:t xml:space="preserve"> Comité pour l'</w:t>
      </w:r>
      <w:r w:rsidRPr="000A7166">
        <w:rPr>
          <w:sz w:val="18"/>
          <w:szCs w:val="18"/>
        </w:rPr>
        <w:t>élimination de la discrimination à l'égard des fem</w:t>
      </w:r>
      <w:r w:rsidRPr="000A7166">
        <w:rPr>
          <w:sz w:val="18"/>
          <w:szCs w:val="18"/>
        </w:rPr>
        <w:t>mes, Recommandation générale n° 36 (2017) sur le droit des filles et des femmes à l'éducation</w:t>
      </w:r>
      <w:r w:rsidR="003963F9">
        <w:rPr>
          <w:sz w:val="18"/>
          <w:szCs w:val="18"/>
        </w:rPr>
        <w:t>. 27 novembre 2017 (paragraphe 28).</w:t>
      </w:r>
    </w:p>
  </w:footnote>
  <w:footnote w:id="15">
    <w:p w:rsidR="00D766B5" w:rsidRDefault="001F6D4B">
      <w:pPr>
        <w:pStyle w:val="Notedebasdepage"/>
      </w:pPr>
      <w:r>
        <w:rPr>
          <w:rStyle w:val="Appelnotedebasdep"/>
        </w:rPr>
        <w:footnoteRef/>
      </w:r>
      <w:r w:rsidRPr="000A7166">
        <w:rPr>
          <w:sz w:val="18"/>
          <w:szCs w:val="18"/>
        </w:rPr>
        <w:t xml:space="preserve"> Rapporteur spécial sur les droits des personnes handicapées. Les personnes âgées handicapées, 17 juillet 2019. (par. 37</w:t>
      </w:r>
      <w:r>
        <w:rPr>
          <w:sz w:val="18"/>
          <w:szCs w:val="18"/>
        </w:rPr>
        <w:t>).</w:t>
      </w:r>
    </w:p>
  </w:footnote>
  <w:footnote w:id="16">
    <w:p w:rsidR="00D766B5" w:rsidRDefault="001F6D4B">
      <w:pPr>
        <w:pStyle w:val="Notedebasdepage"/>
        <w:rPr>
          <w:sz w:val="18"/>
          <w:szCs w:val="18"/>
        </w:rPr>
      </w:pPr>
      <w:r w:rsidRPr="000A7166">
        <w:rPr>
          <w:rStyle w:val="Appelnotedebasdep"/>
          <w:sz w:val="18"/>
          <w:szCs w:val="18"/>
        </w:rPr>
        <w:footnoteRef/>
      </w:r>
      <w:r w:rsidR="00E671A3">
        <w:rPr>
          <w:sz w:val="18"/>
          <w:szCs w:val="18"/>
        </w:rPr>
        <w:t xml:space="preserve">Ibid, Les </w:t>
      </w:r>
      <w:r w:rsidR="00C946CD" w:rsidRPr="000A7166">
        <w:rPr>
          <w:sz w:val="18"/>
          <w:szCs w:val="18"/>
        </w:rPr>
        <w:t>personnes âgées handicapées, 17 juillet 2019. (par. 37)</w:t>
      </w:r>
    </w:p>
  </w:footnote>
  <w:footnote w:id="17">
    <w:p w:rsidR="00D766B5" w:rsidRDefault="001F6D4B">
      <w:pPr>
        <w:pStyle w:val="Notedebasdepage"/>
        <w:rPr>
          <w:sz w:val="18"/>
          <w:szCs w:val="18"/>
        </w:rPr>
      </w:pPr>
      <w:r w:rsidRPr="000A7166">
        <w:rPr>
          <w:rStyle w:val="Appelnotedebasdep"/>
          <w:sz w:val="18"/>
          <w:szCs w:val="18"/>
        </w:rPr>
        <w:footnoteRef/>
      </w:r>
      <w:r w:rsidR="000A7166" w:rsidRPr="000A7166">
        <w:rPr>
          <w:sz w:val="18"/>
          <w:szCs w:val="18"/>
        </w:rPr>
        <w:t xml:space="preserve"> Comité pour l'élimination de la discrimination à l'égard des femmes, Recommandation générale n° </w:t>
      </w:r>
      <w:r w:rsidRPr="000A7166">
        <w:rPr>
          <w:sz w:val="18"/>
          <w:szCs w:val="18"/>
        </w:rPr>
        <w:t xml:space="preserve">33 </w:t>
      </w:r>
      <w:r w:rsidR="000A7166" w:rsidRPr="000A7166">
        <w:rPr>
          <w:sz w:val="18"/>
          <w:szCs w:val="18"/>
        </w:rPr>
        <w:t xml:space="preserve">(2015) </w:t>
      </w:r>
      <w:r w:rsidRPr="000A7166">
        <w:rPr>
          <w:sz w:val="18"/>
          <w:szCs w:val="18"/>
        </w:rPr>
        <w:t xml:space="preserve">L'accès des femmes </w:t>
      </w:r>
      <w:r w:rsidR="000A7166" w:rsidRPr="000A7166">
        <w:rPr>
          <w:sz w:val="18"/>
          <w:szCs w:val="18"/>
        </w:rPr>
        <w:t xml:space="preserve">à la justice. </w:t>
      </w:r>
    </w:p>
  </w:footnote>
  <w:footnote w:id="18">
    <w:p w:rsidR="00D766B5" w:rsidRDefault="001F6D4B">
      <w:pPr>
        <w:pStyle w:val="Notedebasdepage"/>
        <w:rPr>
          <w:sz w:val="18"/>
          <w:szCs w:val="18"/>
        </w:rPr>
      </w:pPr>
      <w:r w:rsidRPr="00E671A3">
        <w:rPr>
          <w:rStyle w:val="Appelnotedebasdep"/>
          <w:sz w:val="18"/>
          <w:szCs w:val="18"/>
        </w:rPr>
        <w:footnoteRef/>
      </w:r>
      <w:bookmarkStart w:id="1" w:name="_Hlk88670733"/>
      <w:r w:rsidR="000A7166" w:rsidRPr="00E671A3">
        <w:rPr>
          <w:sz w:val="18"/>
          <w:szCs w:val="18"/>
        </w:rPr>
        <w:t xml:space="preserve">Ibid, </w:t>
      </w:r>
      <w:r w:rsidRPr="00E671A3">
        <w:rPr>
          <w:sz w:val="18"/>
          <w:szCs w:val="18"/>
        </w:rPr>
        <w:t>Recommandation</w:t>
      </w:r>
      <w:r w:rsidR="000A7166" w:rsidRPr="00E671A3">
        <w:rPr>
          <w:sz w:val="18"/>
          <w:szCs w:val="18"/>
        </w:rPr>
        <w:t xml:space="preserve"> générale </w:t>
      </w:r>
      <w:r w:rsidRPr="00E671A3">
        <w:rPr>
          <w:sz w:val="18"/>
          <w:szCs w:val="18"/>
        </w:rPr>
        <w:t>n°</w:t>
      </w:r>
      <w:bookmarkEnd w:id="1"/>
      <w:r w:rsidRPr="00E671A3">
        <w:rPr>
          <w:sz w:val="18"/>
          <w:szCs w:val="18"/>
        </w:rPr>
        <w:t xml:space="preserve">35 sur la violence sexiste à l'égard des femmes, mettant à jour la </w:t>
      </w:r>
      <w:r w:rsidR="000A7166" w:rsidRPr="00E671A3">
        <w:rPr>
          <w:sz w:val="18"/>
          <w:szCs w:val="18"/>
        </w:rPr>
        <w:t>recommandation générale n° 19.</w:t>
      </w:r>
    </w:p>
  </w:footnote>
  <w:footnote w:id="19">
    <w:p w:rsidR="00D766B5" w:rsidRDefault="001F6D4B">
      <w:pPr>
        <w:pStyle w:val="Notedebasdepage"/>
        <w:rPr>
          <w:sz w:val="18"/>
          <w:szCs w:val="18"/>
          <w:lang w:val="en-US"/>
        </w:rPr>
      </w:pPr>
      <w:r w:rsidRPr="000A7166">
        <w:rPr>
          <w:rStyle w:val="Appelnotedebasdep"/>
          <w:sz w:val="18"/>
          <w:szCs w:val="18"/>
        </w:rPr>
        <w:footnoteRef/>
      </w:r>
      <w:r w:rsidRPr="000A7166">
        <w:rPr>
          <w:sz w:val="18"/>
          <w:szCs w:val="18"/>
          <w:lang w:val="en-US"/>
        </w:rPr>
        <w:t xml:space="preserve"> Comité des droits des personnes handicapées Observation générale n° 7 (2018), 9 novembre 2018, UN Doc. CRPD/C/GC/7, paragraphes 11 et 12(e).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F65B0"/>
    <w:multiLevelType w:val="hybridMultilevel"/>
    <w:tmpl w:val="AB0EC728"/>
    <w:lvl w:ilvl="0" w:tplc="F0F483E0">
      <w:start w:val="3"/>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7919ED"/>
    <w:multiLevelType w:val="hybridMultilevel"/>
    <w:tmpl w:val="389AFE10"/>
    <w:lvl w:ilvl="0" w:tplc="52666C0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517895"/>
    <w:multiLevelType w:val="hybridMultilevel"/>
    <w:tmpl w:val="180E0F70"/>
    <w:lvl w:ilvl="0" w:tplc="B73AB21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EC2091B"/>
    <w:multiLevelType w:val="hybridMultilevel"/>
    <w:tmpl w:val="5C8A8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530E32"/>
    <w:multiLevelType w:val="hybridMultilevel"/>
    <w:tmpl w:val="AEA22054"/>
    <w:lvl w:ilvl="0" w:tplc="E96C5ABE">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031B21"/>
    <w:multiLevelType w:val="hybridMultilevel"/>
    <w:tmpl w:val="CE426C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34C0726C"/>
    <w:multiLevelType w:val="hybridMultilevel"/>
    <w:tmpl w:val="7608763E"/>
    <w:lvl w:ilvl="0" w:tplc="9566D0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81511F3"/>
    <w:multiLevelType w:val="hybridMultilevel"/>
    <w:tmpl w:val="42342BA4"/>
    <w:lvl w:ilvl="0" w:tplc="132E3B7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8D67F16"/>
    <w:multiLevelType w:val="hybridMultilevel"/>
    <w:tmpl w:val="0AFCB1B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C236EFA"/>
    <w:multiLevelType w:val="hybridMultilevel"/>
    <w:tmpl w:val="7A7E93A6"/>
    <w:lvl w:ilvl="0" w:tplc="CAC6AA94">
      <w:start w:val="1"/>
      <w:numFmt w:val="upperRoman"/>
      <w:lvlText w:val="%1."/>
      <w:lvlJc w:val="left"/>
      <w:pPr>
        <w:ind w:left="1080" w:hanging="72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E63578C"/>
    <w:multiLevelType w:val="hybridMultilevel"/>
    <w:tmpl w:val="998AC0A8"/>
    <w:lvl w:ilvl="0" w:tplc="CCF0A162">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8A1E4A"/>
    <w:multiLevelType w:val="hybridMultilevel"/>
    <w:tmpl w:val="14AEC70E"/>
    <w:lvl w:ilvl="0" w:tplc="E440164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B254016"/>
    <w:multiLevelType w:val="hybridMultilevel"/>
    <w:tmpl w:val="8D3826FE"/>
    <w:lvl w:ilvl="0" w:tplc="E5D497C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FAD5B96"/>
    <w:multiLevelType w:val="hybridMultilevel"/>
    <w:tmpl w:val="E6B8B0FA"/>
    <w:lvl w:ilvl="0" w:tplc="81EE0C80">
      <w:start w:val="1"/>
      <w:numFmt w:val="upperRoman"/>
      <w:lvlText w:val="%1."/>
      <w:lvlJc w:val="left"/>
      <w:pPr>
        <w:ind w:left="1080" w:hanging="72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3"/>
  </w:num>
  <w:num w:numId="3">
    <w:abstractNumId w:val="4"/>
  </w:num>
  <w:num w:numId="4">
    <w:abstractNumId w:val="6"/>
  </w:num>
  <w:num w:numId="5">
    <w:abstractNumId w:val="9"/>
  </w:num>
  <w:num w:numId="6">
    <w:abstractNumId w:val="8"/>
  </w:num>
  <w:num w:numId="7">
    <w:abstractNumId w:val="10"/>
  </w:num>
  <w:num w:numId="8">
    <w:abstractNumId w:val="0"/>
  </w:num>
  <w:num w:numId="9">
    <w:abstractNumId w:val="11"/>
  </w:num>
  <w:num w:numId="10">
    <w:abstractNumId w:val="7"/>
  </w:num>
  <w:num w:numId="11">
    <w:abstractNumId w:val="2"/>
  </w:num>
  <w:num w:numId="12">
    <w:abstractNumId w:val="12"/>
  </w:num>
  <w:num w:numId="13">
    <w:abstractNumId w:val="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hdrShapeDefaults>
    <o:shapedefaults v:ext="edit" spidmax="13314"/>
  </w:hdrShapeDefaults>
  <w:footnotePr>
    <w:footnote w:id="0"/>
    <w:footnote w:id="1"/>
  </w:footnotePr>
  <w:endnotePr>
    <w:endnote w:id="0"/>
    <w:endnote w:id="1"/>
  </w:endnotePr>
  <w:compat/>
  <w:rsids>
    <w:rsidRoot w:val="0018457A"/>
    <w:rsid w:val="00007809"/>
    <w:rsid w:val="00016DAF"/>
    <w:rsid w:val="00036708"/>
    <w:rsid w:val="0005023D"/>
    <w:rsid w:val="00062AE9"/>
    <w:rsid w:val="000703A0"/>
    <w:rsid w:val="00072BAA"/>
    <w:rsid w:val="00094816"/>
    <w:rsid w:val="00097182"/>
    <w:rsid w:val="000A7166"/>
    <w:rsid w:val="000C3A8C"/>
    <w:rsid w:val="000C7E06"/>
    <w:rsid w:val="000D167B"/>
    <w:rsid w:val="000D272F"/>
    <w:rsid w:val="000F33AD"/>
    <w:rsid w:val="001242B9"/>
    <w:rsid w:val="0012792B"/>
    <w:rsid w:val="0014207B"/>
    <w:rsid w:val="001425B2"/>
    <w:rsid w:val="0014358C"/>
    <w:rsid w:val="00144D68"/>
    <w:rsid w:val="001523F5"/>
    <w:rsid w:val="00170C3B"/>
    <w:rsid w:val="0018457A"/>
    <w:rsid w:val="00191210"/>
    <w:rsid w:val="001C0F2A"/>
    <w:rsid w:val="001C7909"/>
    <w:rsid w:val="001E23B3"/>
    <w:rsid w:val="001F33A4"/>
    <w:rsid w:val="001F51DA"/>
    <w:rsid w:val="001F6D4B"/>
    <w:rsid w:val="00245FFC"/>
    <w:rsid w:val="00251993"/>
    <w:rsid w:val="00260C06"/>
    <w:rsid w:val="002623E2"/>
    <w:rsid w:val="00270249"/>
    <w:rsid w:val="0028147A"/>
    <w:rsid w:val="00292FB8"/>
    <w:rsid w:val="002A07AB"/>
    <w:rsid w:val="002B0C68"/>
    <w:rsid w:val="002F72B6"/>
    <w:rsid w:val="0032799F"/>
    <w:rsid w:val="00337D8C"/>
    <w:rsid w:val="00383825"/>
    <w:rsid w:val="003963F9"/>
    <w:rsid w:val="003A2CB2"/>
    <w:rsid w:val="003C3039"/>
    <w:rsid w:val="003E03DD"/>
    <w:rsid w:val="004001D5"/>
    <w:rsid w:val="00443D0D"/>
    <w:rsid w:val="0044428F"/>
    <w:rsid w:val="0046680B"/>
    <w:rsid w:val="00474059"/>
    <w:rsid w:val="00474347"/>
    <w:rsid w:val="0048472B"/>
    <w:rsid w:val="004928A6"/>
    <w:rsid w:val="004B049B"/>
    <w:rsid w:val="004C4A22"/>
    <w:rsid w:val="004D108D"/>
    <w:rsid w:val="005215EC"/>
    <w:rsid w:val="00540EDD"/>
    <w:rsid w:val="00542091"/>
    <w:rsid w:val="00542146"/>
    <w:rsid w:val="005436E1"/>
    <w:rsid w:val="00552522"/>
    <w:rsid w:val="00562C2D"/>
    <w:rsid w:val="00563A53"/>
    <w:rsid w:val="00593D1C"/>
    <w:rsid w:val="005B04D5"/>
    <w:rsid w:val="005C3B43"/>
    <w:rsid w:val="005C7C8B"/>
    <w:rsid w:val="006018FF"/>
    <w:rsid w:val="00602BB2"/>
    <w:rsid w:val="0060453E"/>
    <w:rsid w:val="00605768"/>
    <w:rsid w:val="00610E7D"/>
    <w:rsid w:val="00615D71"/>
    <w:rsid w:val="0061677B"/>
    <w:rsid w:val="00635DB2"/>
    <w:rsid w:val="00673307"/>
    <w:rsid w:val="006A0E10"/>
    <w:rsid w:val="006A1F77"/>
    <w:rsid w:val="006E4A41"/>
    <w:rsid w:val="006F75C3"/>
    <w:rsid w:val="00701469"/>
    <w:rsid w:val="007457F8"/>
    <w:rsid w:val="0075015B"/>
    <w:rsid w:val="0075553B"/>
    <w:rsid w:val="00764485"/>
    <w:rsid w:val="007A4028"/>
    <w:rsid w:val="007C35A2"/>
    <w:rsid w:val="007C465A"/>
    <w:rsid w:val="007C6C3D"/>
    <w:rsid w:val="007E53AF"/>
    <w:rsid w:val="007E6D84"/>
    <w:rsid w:val="008000FB"/>
    <w:rsid w:val="00807248"/>
    <w:rsid w:val="00817028"/>
    <w:rsid w:val="00843046"/>
    <w:rsid w:val="00880834"/>
    <w:rsid w:val="00883E0C"/>
    <w:rsid w:val="008A0E2E"/>
    <w:rsid w:val="008A5372"/>
    <w:rsid w:val="008B5116"/>
    <w:rsid w:val="008C12F8"/>
    <w:rsid w:val="008C2A79"/>
    <w:rsid w:val="008C5620"/>
    <w:rsid w:val="008D4D17"/>
    <w:rsid w:val="0090575B"/>
    <w:rsid w:val="00920071"/>
    <w:rsid w:val="00936D9E"/>
    <w:rsid w:val="009435E7"/>
    <w:rsid w:val="0096337D"/>
    <w:rsid w:val="00966528"/>
    <w:rsid w:val="00966C01"/>
    <w:rsid w:val="00971B28"/>
    <w:rsid w:val="00996936"/>
    <w:rsid w:val="009A78D1"/>
    <w:rsid w:val="009C1AB1"/>
    <w:rsid w:val="009E2EF9"/>
    <w:rsid w:val="00A040B5"/>
    <w:rsid w:val="00A66179"/>
    <w:rsid w:val="00A82B8B"/>
    <w:rsid w:val="00A940C0"/>
    <w:rsid w:val="00A97519"/>
    <w:rsid w:val="00AA5CF5"/>
    <w:rsid w:val="00AC2B11"/>
    <w:rsid w:val="00AC3F4C"/>
    <w:rsid w:val="00B057FF"/>
    <w:rsid w:val="00B10821"/>
    <w:rsid w:val="00B64905"/>
    <w:rsid w:val="00B76302"/>
    <w:rsid w:val="00B917D3"/>
    <w:rsid w:val="00BB3CBF"/>
    <w:rsid w:val="00BB707A"/>
    <w:rsid w:val="00BC0EE9"/>
    <w:rsid w:val="00BD4D8D"/>
    <w:rsid w:val="00C14B27"/>
    <w:rsid w:val="00C65A41"/>
    <w:rsid w:val="00C71F66"/>
    <w:rsid w:val="00C75B8E"/>
    <w:rsid w:val="00C81BCD"/>
    <w:rsid w:val="00C87ED6"/>
    <w:rsid w:val="00C946CD"/>
    <w:rsid w:val="00CA3578"/>
    <w:rsid w:val="00CB0FB3"/>
    <w:rsid w:val="00CD289A"/>
    <w:rsid w:val="00CD725E"/>
    <w:rsid w:val="00CF6335"/>
    <w:rsid w:val="00CF6D43"/>
    <w:rsid w:val="00D00B41"/>
    <w:rsid w:val="00D07D9A"/>
    <w:rsid w:val="00D22E64"/>
    <w:rsid w:val="00D30EB3"/>
    <w:rsid w:val="00D51F51"/>
    <w:rsid w:val="00D57096"/>
    <w:rsid w:val="00D6364E"/>
    <w:rsid w:val="00D766B5"/>
    <w:rsid w:val="00D97C1F"/>
    <w:rsid w:val="00DA229E"/>
    <w:rsid w:val="00DD74B6"/>
    <w:rsid w:val="00DE247E"/>
    <w:rsid w:val="00DF22AC"/>
    <w:rsid w:val="00E02D4F"/>
    <w:rsid w:val="00E45DCD"/>
    <w:rsid w:val="00E671A3"/>
    <w:rsid w:val="00E7337D"/>
    <w:rsid w:val="00E76117"/>
    <w:rsid w:val="00E92C00"/>
    <w:rsid w:val="00EA09EE"/>
    <w:rsid w:val="00EB7F0C"/>
    <w:rsid w:val="00EC5EC6"/>
    <w:rsid w:val="00F1222D"/>
    <w:rsid w:val="00F17A93"/>
    <w:rsid w:val="00F21F97"/>
    <w:rsid w:val="00F22D52"/>
    <w:rsid w:val="00F30932"/>
    <w:rsid w:val="00F434EA"/>
    <w:rsid w:val="00F643BC"/>
    <w:rsid w:val="00F758C4"/>
    <w:rsid w:val="00F92246"/>
    <w:rsid w:val="00FB40D3"/>
    <w:rsid w:val="00FB5077"/>
    <w:rsid w:val="00FD07AE"/>
    <w:rsid w:val="00FE13DB"/>
    <w:rsid w:val="00FF4E85"/>
    <w:rsid w:val="00FF610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7A"/>
    <w:pPr>
      <w:spacing w:after="0" w:line="240" w:lineRule="auto"/>
    </w:pPr>
    <w:rPr>
      <w:rFonts w:ascii="Times New Roman" w:hAnsi="Times New Roman" w:cs="Times New Roman"/>
      <w:sz w:val="24"/>
      <w:szCs w:val="24"/>
      <w:lang w:eastAsia="en-GB"/>
    </w:rPr>
  </w:style>
  <w:style w:type="paragraph" w:styleId="Titre1">
    <w:name w:val="heading 1"/>
    <w:basedOn w:val="Normal"/>
    <w:next w:val="Normal"/>
    <w:link w:val="Titre1Car"/>
    <w:uiPriority w:val="9"/>
    <w:qFormat/>
    <w:rsid w:val="00CD289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457A"/>
    <w:pPr>
      <w:ind w:left="720"/>
      <w:contextualSpacing/>
    </w:pPr>
  </w:style>
  <w:style w:type="paragraph" w:styleId="Notedebasdepage">
    <w:name w:val="footnote text"/>
    <w:basedOn w:val="Normal"/>
    <w:link w:val="NotedebasdepageCar"/>
    <w:uiPriority w:val="99"/>
    <w:semiHidden/>
    <w:unhideWhenUsed/>
    <w:rsid w:val="008000FB"/>
    <w:rPr>
      <w:sz w:val="20"/>
      <w:szCs w:val="20"/>
    </w:rPr>
  </w:style>
  <w:style w:type="character" w:customStyle="1" w:styleId="NotedebasdepageCar">
    <w:name w:val="Note de bas de page Car"/>
    <w:basedOn w:val="Policepardfaut"/>
    <w:link w:val="Notedebasdepage"/>
    <w:uiPriority w:val="99"/>
    <w:semiHidden/>
    <w:rsid w:val="008000FB"/>
    <w:rPr>
      <w:rFonts w:ascii="Times New Roman" w:hAnsi="Times New Roman" w:cs="Times New Roman"/>
      <w:sz w:val="20"/>
      <w:szCs w:val="20"/>
      <w:lang w:eastAsia="en-GB"/>
    </w:rPr>
  </w:style>
  <w:style w:type="character" w:styleId="Appelnotedebasdep">
    <w:name w:val="footnote reference"/>
    <w:basedOn w:val="Policepardfaut"/>
    <w:uiPriority w:val="99"/>
    <w:semiHidden/>
    <w:unhideWhenUsed/>
    <w:rsid w:val="008000FB"/>
    <w:rPr>
      <w:vertAlign w:val="superscript"/>
    </w:rPr>
  </w:style>
  <w:style w:type="character" w:styleId="Lienhypertexte">
    <w:name w:val="Hyperlink"/>
    <w:basedOn w:val="Policepardfaut"/>
    <w:uiPriority w:val="99"/>
    <w:unhideWhenUsed/>
    <w:rsid w:val="008000FB"/>
    <w:rPr>
      <w:color w:val="0563C1" w:themeColor="hyperlink"/>
      <w:u w:val="single"/>
    </w:rPr>
  </w:style>
  <w:style w:type="character" w:customStyle="1" w:styleId="Titre1Car">
    <w:name w:val="Titre 1 Car"/>
    <w:basedOn w:val="Policepardfaut"/>
    <w:link w:val="Titre1"/>
    <w:uiPriority w:val="9"/>
    <w:rsid w:val="00CD289A"/>
    <w:rPr>
      <w:rFonts w:asciiTheme="majorHAnsi" w:eastAsiaTheme="majorEastAsia" w:hAnsiTheme="majorHAnsi" w:cstheme="majorBidi"/>
      <w:color w:val="2E74B5" w:themeColor="accent1" w:themeShade="BF"/>
      <w:sz w:val="32"/>
      <w:szCs w:val="32"/>
      <w:lang w:eastAsia="en-GB"/>
    </w:rPr>
  </w:style>
  <w:style w:type="character" w:styleId="Marquedecommentaire">
    <w:name w:val="annotation reference"/>
    <w:basedOn w:val="Policepardfaut"/>
    <w:uiPriority w:val="99"/>
    <w:semiHidden/>
    <w:unhideWhenUsed/>
    <w:rsid w:val="0096337D"/>
    <w:rPr>
      <w:sz w:val="16"/>
      <w:szCs w:val="16"/>
    </w:rPr>
  </w:style>
  <w:style w:type="paragraph" w:styleId="Commentaire">
    <w:name w:val="annotation text"/>
    <w:basedOn w:val="Normal"/>
    <w:link w:val="CommentaireCar"/>
    <w:uiPriority w:val="99"/>
    <w:unhideWhenUsed/>
    <w:rsid w:val="0096337D"/>
    <w:rPr>
      <w:rFonts w:asciiTheme="minorHAnsi" w:hAnsiTheme="minorHAnsi" w:cs="Times New Roman (Cuerpo en alfa"/>
      <w:bCs/>
      <w:iCs/>
      <w:sz w:val="20"/>
      <w:szCs w:val="20"/>
      <w:lang w:val="es-PA" w:eastAsia="en-US"/>
    </w:rPr>
  </w:style>
  <w:style w:type="character" w:customStyle="1" w:styleId="CommentaireCar">
    <w:name w:val="Commentaire Car"/>
    <w:basedOn w:val="Policepardfaut"/>
    <w:link w:val="Commentaire"/>
    <w:uiPriority w:val="99"/>
    <w:rsid w:val="0096337D"/>
    <w:rPr>
      <w:rFonts w:cs="Times New Roman (Cuerpo en alfa"/>
      <w:bCs/>
      <w:iCs/>
      <w:sz w:val="20"/>
      <w:szCs w:val="20"/>
      <w:lang w:val="es-PA"/>
    </w:rPr>
  </w:style>
  <w:style w:type="paragraph" w:styleId="Textedebulles">
    <w:name w:val="Balloon Text"/>
    <w:basedOn w:val="Normal"/>
    <w:link w:val="TextedebullesCar"/>
    <w:uiPriority w:val="99"/>
    <w:semiHidden/>
    <w:unhideWhenUsed/>
    <w:rsid w:val="0096337D"/>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337D"/>
    <w:rPr>
      <w:rFonts w:ascii="Segoe UI" w:hAnsi="Segoe UI" w:cs="Segoe UI"/>
      <w:sz w:val="18"/>
      <w:szCs w:val="18"/>
      <w:lang w:eastAsia="en-GB"/>
    </w:rPr>
  </w:style>
  <w:style w:type="paragraph" w:styleId="Rvision">
    <w:name w:val="Revision"/>
    <w:hidden/>
    <w:uiPriority w:val="99"/>
    <w:semiHidden/>
    <w:rsid w:val="00F17A93"/>
    <w:pPr>
      <w:spacing w:after="0" w:line="240" w:lineRule="auto"/>
    </w:pPr>
    <w:rPr>
      <w:rFonts w:ascii="Times New Roman" w:hAnsi="Times New Roman" w:cs="Times New Roman"/>
      <w:sz w:val="24"/>
      <w:szCs w:val="24"/>
      <w:lang w:eastAsia="en-GB"/>
    </w:rPr>
  </w:style>
  <w:style w:type="paragraph" w:styleId="Objetducommentaire">
    <w:name w:val="annotation subject"/>
    <w:basedOn w:val="Commentaire"/>
    <w:next w:val="Commentaire"/>
    <w:link w:val="ObjetducommentaireCar"/>
    <w:uiPriority w:val="99"/>
    <w:semiHidden/>
    <w:unhideWhenUsed/>
    <w:rsid w:val="002F72B6"/>
    <w:rPr>
      <w:rFonts w:ascii="Times New Roman" w:hAnsi="Times New Roman" w:cs="Times New Roman"/>
      <w:b/>
      <w:iCs w:val="0"/>
      <w:lang w:val="en-GB" w:eastAsia="en-GB"/>
    </w:rPr>
  </w:style>
  <w:style w:type="character" w:customStyle="1" w:styleId="ObjetducommentaireCar">
    <w:name w:val="Objet du commentaire Car"/>
    <w:basedOn w:val="CommentaireCar"/>
    <w:link w:val="Objetducommentaire"/>
    <w:uiPriority w:val="99"/>
    <w:semiHidden/>
    <w:rsid w:val="002F72B6"/>
    <w:rPr>
      <w:rFonts w:ascii="Times New Roman" w:hAnsi="Times New Roman" w:cs="Times New Roman"/>
      <w:b/>
      <w:bCs/>
      <w:iCs w:val="0"/>
      <w:sz w:val="20"/>
      <w:szCs w:val="20"/>
      <w:lang w:val="es-PA" w:eastAsia="en-GB"/>
    </w:rPr>
  </w:style>
  <w:style w:type="paragraph" w:styleId="En-tte">
    <w:name w:val="header"/>
    <w:basedOn w:val="Normal"/>
    <w:link w:val="En-tteCar"/>
    <w:uiPriority w:val="99"/>
    <w:unhideWhenUsed/>
    <w:rsid w:val="001C0F2A"/>
    <w:pPr>
      <w:tabs>
        <w:tab w:val="center" w:pos="4513"/>
        <w:tab w:val="right" w:pos="9026"/>
      </w:tabs>
    </w:pPr>
  </w:style>
  <w:style w:type="character" w:customStyle="1" w:styleId="En-tteCar">
    <w:name w:val="En-tête Car"/>
    <w:basedOn w:val="Policepardfaut"/>
    <w:link w:val="En-tte"/>
    <w:uiPriority w:val="99"/>
    <w:rsid w:val="001C0F2A"/>
    <w:rPr>
      <w:rFonts w:ascii="Times New Roman" w:hAnsi="Times New Roman" w:cs="Times New Roman"/>
      <w:sz w:val="24"/>
      <w:szCs w:val="24"/>
      <w:lang w:eastAsia="en-GB"/>
    </w:rPr>
  </w:style>
  <w:style w:type="paragraph" w:styleId="Pieddepage">
    <w:name w:val="footer"/>
    <w:basedOn w:val="Normal"/>
    <w:link w:val="PieddepageCar"/>
    <w:uiPriority w:val="99"/>
    <w:unhideWhenUsed/>
    <w:rsid w:val="001C0F2A"/>
    <w:pPr>
      <w:tabs>
        <w:tab w:val="center" w:pos="4513"/>
        <w:tab w:val="right" w:pos="9026"/>
      </w:tabs>
    </w:pPr>
  </w:style>
  <w:style w:type="character" w:customStyle="1" w:styleId="PieddepageCar">
    <w:name w:val="Pied de page Car"/>
    <w:basedOn w:val="Policepardfaut"/>
    <w:link w:val="Pieddepage"/>
    <w:uiPriority w:val="99"/>
    <w:rsid w:val="001C0F2A"/>
    <w:rPr>
      <w:rFonts w:ascii="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403911739">
      <w:bodyDiv w:val="1"/>
      <w:marLeft w:val="0"/>
      <w:marRight w:val="0"/>
      <w:marTop w:val="0"/>
      <w:marBottom w:val="0"/>
      <w:divBdr>
        <w:top w:val="none" w:sz="0" w:space="0" w:color="auto"/>
        <w:left w:val="none" w:sz="0" w:space="0" w:color="auto"/>
        <w:bottom w:val="none" w:sz="0" w:space="0" w:color="auto"/>
        <w:right w:val="none" w:sz="0" w:space="0" w:color="auto"/>
      </w:divBdr>
    </w:div>
    <w:div w:id="736979325">
      <w:bodyDiv w:val="1"/>
      <w:marLeft w:val="0"/>
      <w:marRight w:val="0"/>
      <w:marTop w:val="0"/>
      <w:marBottom w:val="0"/>
      <w:divBdr>
        <w:top w:val="none" w:sz="0" w:space="0" w:color="auto"/>
        <w:left w:val="none" w:sz="0" w:space="0" w:color="auto"/>
        <w:bottom w:val="none" w:sz="0" w:space="0" w:color="auto"/>
        <w:right w:val="none" w:sz="0" w:space="0" w:color="auto"/>
      </w:divBdr>
    </w:div>
    <w:div w:id="777262164">
      <w:bodyDiv w:val="1"/>
      <w:marLeft w:val="0"/>
      <w:marRight w:val="0"/>
      <w:marTop w:val="0"/>
      <w:marBottom w:val="0"/>
      <w:divBdr>
        <w:top w:val="none" w:sz="0" w:space="0" w:color="auto"/>
        <w:left w:val="none" w:sz="0" w:space="0" w:color="auto"/>
        <w:bottom w:val="none" w:sz="0" w:space="0" w:color="auto"/>
        <w:right w:val="none" w:sz="0" w:space="0" w:color="auto"/>
      </w:divBdr>
    </w:div>
    <w:div w:id="874076459">
      <w:bodyDiv w:val="1"/>
      <w:marLeft w:val="0"/>
      <w:marRight w:val="0"/>
      <w:marTop w:val="0"/>
      <w:marBottom w:val="0"/>
      <w:divBdr>
        <w:top w:val="none" w:sz="0" w:space="0" w:color="auto"/>
        <w:left w:val="none" w:sz="0" w:space="0" w:color="auto"/>
        <w:bottom w:val="none" w:sz="0" w:space="0" w:color="auto"/>
        <w:right w:val="none" w:sz="0" w:space="0" w:color="auto"/>
      </w:divBdr>
    </w:div>
    <w:div w:id="1366521702">
      <w:bodyDiv w:val="1"/>
      <w:marLeft w:val="0"/>
      <w:marRight w:val="0"/>
      <w:marTop w:val="0"/>
      <w:marBottom w:val="0"/>
      <w:divBdr>
        <w:top w:val="none" w:sz="0" w:space="0" w:color="auto"/>
        <w:left w:val="none" w:sz="0" w:space="0" w:color="auto"/>
        <w:bottom w:val="none" w:sz="0" w:space="0" w:color="auto"/>
        <w:right w:val="none" w:sz="0" w:space="0" w:color="auto"/>
      </w:divBdr>
    </w:div>
    <w:div w:id="1605579674">
      <w:bodyDiv w:val="1"/>
      <w:marLeft w:val="0"/>
      <w:marRight w:val="0"/>
      <w:marTop w:val="0"/>
      <w:marBottom w:val="0"/>
      <w:divBdr>
        <w:top w:val="none" w:sz="0" w:space="0" w:color="auto"/>
        <w:left w:val="none" w:sz="0" w:space="0" w:color="auto"/>
        <w:bottom w:val="none" w:sz="0" w:space="0" w:color="auto"/>
        <w:right w:val="none" w:sz="0" w:space="0" w:color="auto"/>
      </w:divBdr>
    </w:div>
    <w:div w:id="1909419456">
      <w:bodyDiv w:val="1"/>
      <w:marLeft w:val="0"/>
      <w:marRight w:val="0"/>
      <w:marTop w:val="0"/>
      <w:marBottom w:val="0"/>
      <w:divBdr>
        <w:top w:val="none" w:sz="0" w:space="0" w:color="auto"/>
        <w:left w:val="none" w:sz="0" w:space="0" w:color="auto"/>
        <w:bottom w:val="none" w:sz="0" w:space="0" w:color="auto"/>
        <w:right w:val="none" w:sz="0" w:space="0" w:color="auto"/>
      </w:divBdr>
    </w:div>
    <w:div w:id="200500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hchr.org/EN/HRBodies/CRC/Pages/CRCIndex.aspx" TargetMode="External"/><Relationship Id="rId18" Type="http://schemas.openxmlformats.org/officeDocument/2006/relationships/hyperlink" Target="https://www.ohchr.org/EN/HRBodies/CRPD/Pages/ConventionRightsPersonsWithDisabilities.aspx" TargetMode="External"/><Relationship Id="rId26" Type="http://schemas.openxmlformats.org/officeDocument/2006/relationships/hyperlink" Target="https://www.ohchr.org/EN/ProfessionalInterest/Pages/CEDAW.aspx" TargetMode="External"/><Relationship Id="rId3" Type="http://schemas.openxmlformats.org/officeDocument/2006/relationships/customXml" Target="../customXml/item3.xml"/><Relationship Id="rId21" Type="http://schemas.openxmlformats.org/officeDocument/2006/relationships/hyperlink" Target="https://www.ohchr.org/EN/HRBodies/CRPD/Pages/ConventionRightsPersonsWithDisabilities.aspx"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ohchr.org/EN/HRBodies/CEDAW/pages/cedawindex.aspx" TargetMode="External"/><Relationship Id="rId17" Type="http://schemas.openxmlformats.org/officeDocument/2006/relationships/hyperlink" Target="https://www.ohchr.org/EN/HRBodies/CRPD/Pages/ConventionRightsPersonsWithDisabilities.aspx" TargetMode="External"/><Relationship Id="rId25" Type="http://schemas.openxmlformats.org/officeDocument/2006/relationships/hyperlink" Target="https://www.ohchr.org/EN/HRBodies/CRPD/Pages/ConventionRightsPersonsWithDisabilities.aspx" TargetMode="External"/><Relationship Id="rId33" Type="http://schemas.openxmlformats.org/officeDocument/2006/relationships/hyperlink" Target="https://tbinternet.ohchr.org/_layouts/15/treatybodyexternal/Download.aspx?symbolno=CRPD/C/GC/3&amp;Lang=en" TargetMode="External"/><Relationship Id="rId38"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treaties.un.org/Pages/Treaties.aspx?id=4&amp;subid=A&amp;clang=_en" TargetMode="External"/><Relationship Id="rId20" Type="http://schemas.openxmlformats.org/officeDocument/2006/relationships/hyperlink" Target="https://www.ohchr.org/EN/HRBodies/CRC/Pages/CRCIndex.aspx" TargetMode="External"/><Relationship Id="rId29" Type="http://schemas.openxmlformats.org/officeDocument/2006/relationships/hyperlink" Target="https://womenenabled.org/reports/wei-fact-sheet-gb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HRBodies/CRPD/Pages/CRPDIndex.aspx" TargetMode="External"/><Relationship Id="rId24" Type="http://schemas.openxmlformats.org/officeDocument/2006/relationships/hyperlink" Target="https://tbinternet.ohchr.org/_layouts/15/treatybodyexternal/Download.aspx?symbolno=INT/CEDAW/GEC/4738&amp;Lang=en" TargetMode="External"/><Relationship Id="rId32" Type="http://schemas.openxmlformats.org/officeDocument/2006/relationships/hyperlink" Target="https://tbinternet.ohchr.org/_layouts/15/treatybodyexternal/Download.aspx?symbolno=CRPD/C/GC/3&amp;Lang=en" TargetMode="External"/><Relationship Id="rId37"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file:///\\fshq.ad.ohchr.org\redirected$\Catherinne.Pedreros\My%20Documents\1)%20CRPD\Working%20Group%20Women%20and%20Girls%20with%20Disabilities\The%2016%20Days%20of%20Activism%20against%20Gender-Based%20Violence" TargetMode="External"/><Relationship Id="rId23" Type="http://schemas.openxmlformats.org/officeDocument/2006/relationships/hyperlink" Target="https://www.ohchr.org/EN/ProfessionalInterest/Pages/CEDAW.aspx" TargetMode="External"/><Relationship Id="rId28" Type="http://schemas.openxmlformats.org/officeDocument/2006/relationships/hyperlink" Target="https://www.ohchr.org/EN/Issues/Disability/Pages/SDG-CRPD-Resource.aspx"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ohchr.org/EN/HRBodies/CRPD/Pages/ConventionRightsPersonsWithDisabilities.aspx" TargetMode="External"/><Relationship Id="rId31" Type="http://schemas.openxmlformats.org/officeDocument/2006/relationships/hyperlink" Target="https://tbinternet.ohchr.org/_layouts/15/treatybodyexternal/Download.aspx?symbolno=CEDAW/C/GC/33&amp;Lan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chr.org/EN/Issues/Disability/SRDisabilities/Pages/SRDisabilitiesIndex.aspx" TargetMode="External"/><Relationship Id="rId22" Type="http://schemas.openxmlformats.org/officeDocument/2006/relationships/hyperlink" Target="https://www.ohchr.org/EN/ProfessionalInterest/Pages/CEDAW.aspx" TargetMode="External"/><Relationship Id="rId27" Type="http://schemas.openxmlformats.org/officeDocument/2006/relationships/hyperlink" Target="https://sdgs.un.org/" TargetMode="External"/><Relationship Id="rId30" Type="http://schemas.openxmlformats.org/officeDocument/2006/relationships/hyperlink" Target="https://undocs.org/en/A/72/133"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B8926E-D9C3-4595-BE8C-0D5EF738CB1B}">
  <ds:schemaRefs>
    <ds:schemaRef ds:uri="http://schemas.openxmlformats.org/officeDocument/2006/bibliography"/>
  </ds:schemaRefs>
</ds:datastoreItem>
</file>

<file path=customXml/itemProps2.xml><?xml version="1.0" encoding="utf-8"?>
<ds:datastoreItem xmlns:ds="http://schemas.openxmlformats.org/officeDocument/2006/customXml" ds:itemID="{3A5C5495-40FA-432E-A193-700E8E3B1FA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EC746D8-9B1F-4B7E-ACB2-52FCFAFD34B7}">
  <ds:schemaRefs>
    <ds:schemaRef ds:uri="http://schemas.microsoft.com/sharepoint/v3/contenttype/forms"/>
  </ds:schemaRefs>
</ds:datastoreItem>
</file>

<file path=customXml/itemProps4.xml><?xml version="1.0" encoding="utf-8"?>
<ds:datastoreItem xmlns:ds="http://schemas.openxmlformats.org/officeDocument/2006/customXml" ds:itemID="{99A86E39-B15A-4C75-8962-17AFECB3A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3097</Words>
  <Characters>17034</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20091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Catherinne Ivonne Pedreros Puentes</dc:creator>
  <cp:lastModifiedBy>Desaint</cp:lastModifiedBy>
  <cp:revision>2</cp:revision>
  <dcterms:created xsi:type="dcterms:W3CDTF">2021-12-11T18:11:00Z</dcterms:created>
  <dcterms:modified xsi:type="dcterms:W3CDTF">2021-12-11T18:11:00Z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